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43C9" w14:textId="77777777" w:rsidR="00D84F5E" w:rsidRDefault="00000000">
      <w:pPr>
        <w:spacing w:after="0"/>
        <w:ind w:right="513"/>
        <w:jc w:val="right"/>
      </w:pPr>
      <w:r>
        <w:t xml:space="preserve">Załącznik nr 4 do SWZ </w:t>
      </w:r>
    </w:p>
    <w:p w14:paraId="23DE25AD" w14:textId="77777777" w:rsidR="00D84F5E" w:rsidRDefault="00000000">
      <w:pPr>
        <w:spacing w:after="0"/>
        <w:ind w:left="3135"/>
      </w:pPr>
      <w:r>
        <w:t xml:space="preserve"> </w:t>
      </w:r>
    </w:p>
    <w:p w14:paraId="1C582568" w14:textId="77777777" w:rsidR="00D84F5E" w:rsidRDefault="00000000">
      <w:pPr>
        <w:pStyle w:val="Nagwek1"/>
      </w:pPr>
      <w:r>
        <w:t xml:space="preserve">Opis Przedmiotu Zamówienia </w:t>
      </w:r>
    </w:p>
    <w:p w14:paraId="7C9FCC29" w14:textId="77777777" w:rsidR="00D84F5E" w:rsidRDefault="00000000">
      <w:pPr>
        <w:spacing w:after="597"/>
        <w:ind w:left="3135"/>
      </w:pPr>
      <w:r>
        <w:t xml:space="preserve"> </w:t>
      </w:r>
    </w:p>
    <w:p w14:paraId="196848BE" w14:textId="6861BEDA" w:rsidR="00D84F5E" w:rsidRDefault="00000000">
      <w:pPr>
        <w:spacing w:after="323" w:line="360" w:lineRule="auto"/>
        <w:ind w:left="9" w:right="374" w:hanging="10"/>
      </w:pPr>
      <w:r>
        <w:rPr>
          <w:sz w:val="24"/>
        </w:rPr>
        <w:t>Przedmiotem zamówienia jest dostawa stacji roboczych wraz systemem operacyjnym</w:t>
      </w:r>
      <w:r w:rsidR="00E23565">
        <w:rPr>
          <w:sz w:val="24"/>
        </w:rPr>
        <w:t>, dostawa monitorów</w:t>
      </w:r>
      <w:r>
        <w:rPr>
          <w:sz w:val="24"/>
        </w:rPr>
        <w:t xml:space="preserve"> do Urzędu Gminy Michałowice. </w:t>
      </w:r>
    </w:p>
    <w:p w14:paraId="50BB60A3" w14:textId="77777777" w:rsidR="00D84F5E" w:rsidRDefault="00000000">
      <w:pPr>
        <w:numPr>
          <w:ilvl w:val="0"/>
          <w:numId w:val="1"/>
        </w:numPr>
        <w:spacing w:after="0"/>
        <w:ind w:right="187" w:hanging="708"/>
      </w:pPr>
      <w:r>
        <w:rPr>
          <w:sz w:val="24"/>
        </w:rPr>
        <w:t xml:space="preserve">Specyfikacja ilościowa zamawianych elementów: </w:t>
      </w:r>
    </w:p>
    <w:tbl>
      <w:tblPr>
        <w:tblStyle w:val="TableGrid"/>
        <w:tblW w:w="9492" w:type="dxa"/>
        <w:tblInd w:w="22" w:type="dxa"/>
        <w:tblCellMar>
          <w:top w:w="52" w:type="dxa"/>
          <w:left w:w="108" w:type="dxa"/>
          <w:right w:w="66" w:type="dxa"/>
        </w:tblCellMar>
        <w:tblLook w:val="04A0" w:firstRow="1" w:lastRow="0" w:firstColumn="1" w:lastColumn="0" w:noHBand="0" w:noVBand="1"/>
      </w:tblPr>
      <w:tblGrid>
        <w:gridCol w:w="598"/>
        <w:gridCol w:w="7618"/>
        <w:gridCol w:w="1276"/>
      </w:tblGrid>
      <w:tr w:rsidR="00D84F5E" w14:paraId="6A0C14F9"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E2EFD9"/>
          </w:tcPr>
          <w:p w14:paraId="3F772F39" w14:textId="77777777" w:rsidR="00D84F5E" w:rsidRDefault="00000000">
            <w:pPr>
              <w:ind w:left="12"/>
            </w:pPr>
            <w:r>
              <w:rPr>
                <w:b/>
                <w:sz w:val="24"/>
              </w:rPr>
              <w:t xml:space="preserve">L.p. </w:t>
            </w:r>
          </w:p>
        </w:tc>
        <w:tc>
          <w:tcPr>
            <w:tcW w:w="7619" w:type="dxa"/>
            <w:tcBorders>
              <w:top w:val="single" w:sz="4" w:space="0" w:color="000000"/>
              <w:left w:val="single" w:sz="4" w:space="0" w:color="000000"/>
              <w:bottom w:val="single" w:sz="4" w:space="0" w:color="000000"/>
              <w:right w:val="single" w:sz="4" w:space="0" w:color="000000"/>
            </w:tcBorders>
            <w:shd w:val="clear" w:color="auto" w:fill="E2EFD9"/>
          </w:tcPr>
          <w:p w14:paraId="5A5B67A9" w14:textId="77777777" w:rsidR="00D84F5E" w:rsidRDefault="00000000">
            <w:r>
              <w:rPr>
                <w:b/>
                <w:sz w:val="24"/>
              </w:rPr>
              <w:t xml:space="preserve">Przedmiot zamówienia </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cPr>
          <w:p w14:paraId="7FA4A2F2" w14:textId="77777777" w:rsidR="00D84F5E" w:rsidRDefault="00000000">
            <w:r>
              <w:rPr>
                <w:b/>
                <w:sz w:val="24"/>
              </w:rPr>
              <w:t xml:space="preserve">Ilość </w:t>
            </w:r>
          </w:p>
        </w:tc>
      </w:tr>
      <w:tr w:rsidR="00D84F5E" w14:paraId="0CFAD3B7" w14:textId="77777777">
        <w:trPr>
          <w:trHeight w:val="892"/>
        </w:trPr>
        <w:tc>
          <w:tcPr>
            <w:tcW w:w="598" w:type="dxa"/>
            <w:tcBorders>
              <w:top w:val="single" w:sz="4" w:space="0" w:color="000000"/>
              <w:left w:val="single" w:sz="4" w:space="0" w:color="000000"/>
              <w:bottom w:val="single" w:sz="4" w:space="0" w:color="000000"/>
              <w:right w:val="single" w:sz="4" w:space="0" w:color="000000"/>
            </w:tcBorders>
          </w:tcPr>
          <w:p w14:paraId="6C8D866C" w14:textId="77777777" w:rsidR="00D84F5E" w:rsidRDefault="00000000">
            <w:r>
              <w:rPr>
                <w:sz w:val="24"/>
              </w:rPr>
              <w:t xml:space="preserve">1 </w:t>
            </w:r>
          </w:p>
        </w:tc>
        <w:tc>
          <w:tcPr>
            <w:tcW w:w="7619" w:type="dxa"/>
            <w:tcBorders>
              <w:top w:val="single" w:sz="4" w:space="0" w:color="000000"/>
              <w:left w:val="single" w:sz="4" w:space="0" w:color="000000"/>
              <w:bottom w:val="single" w:sz="4" w:space="0" w:color="000000"/>
              <w:right w:val="single" w:sz="4" w:space="0" w:color="000000"/>
            </w:tcBorders>
          </w:tcPr>
          <w:p w14:paraId="0C6AC1A4" w14:textId="77777777" w:rsidR="00D84F5E" w:rsidRDefault="00000000">
            <w:pPr>
              <w:spacing w:after="123"/>
            </w:pPr>
            <w:r>
              <w:rPr>
                <w:sz w:val="24"/>
              </w:rPr>
              <w:t xml:space="preserve">Zestaw komputerowy biurowy i multimedia wraz z systemem operacyjnym </w:t>
            </w:r>
          </w:p>
          <w:p w14:paraId="76937356" w14:textId="77777777" w:rsidR="00D84F5E" w:rsidRDefault="00000000">
            <w:r>
              <w:rPr>
                <w:sz w:val="24"/>
              </w:rPr>
              <w:t xml:space="preserve">(zgodnie ze specyfikacją – Tab. 1) </w:t>
            </w:r>
          </w:p>
        </w:tc>
        <w:tc>
          <w:tcPr>
            <w:tcW w:w="1276" w:type="dxa"/>
            <w:tcBorders>
              <w:top w:val="single" w:sz="4" w:space="0" w:color="000000"/>
              <w:left w:val="single" w:sz="4" w:space="0" w:color="000000"/>
              <w:bottom w:val="single" w:sz="4" w:space="0" w:color="000000"/>
              <w:right w:val="single" w:sz="4" w:space="0" w:color="000000"/>
            </w:tcBorders>
          </w:tcPr>
          <w:p w14:paraId="11BCA461" w14:textId="1F9584B3" w:rsidR="00D84F5E" w:rsidRDefault="00E23565">
            <w:r>
              <w:rPr>
                <w:sz w:val="24"/>
              </w:rPr>
              <w:t xml:space="preserve">10 szt. </w:t>
            </w:r>
          </w:p>
        </w:tc>
      </w:tr>
      <w:tr w:rsidR="00D84F5E" w14:paraId="4693FBDC" w14:textId="77777777">
        <w:trPr>
          <w:trHeight w:val="449"/>
        </w:trPr>
        <w:tc>
          <w:tcPr>
            <w:tcW w:w="598" w:type="dxa"/>
            <w:tcBorders>
              <w:top w:val="single" w:sz="4" w:space="0" w:color="000000"/>
              <w:left w:val="single" w:sz="4" w:space="0" w:color="000000"/>
              <w:bottom w:val="single" w:sz="4" w:space="0" w:color="000000"/>
              <w:right w:val="single" w:sz="4" w:space="0" w:color="000000"/>
            </w:tcBorders>
          </w:tcPr>
          <w:p w14:paraId="0D98C8FC" w14:textId="77777777" w:rsidR="00D84F5E" w:rsidRDefault="00000000">
            <w:r>
              <w:rPr>
                <w:sz w:val="24"/>
              </w:rPr>
              <w:t xml:space="preserve">2 </w:t>
            </w:r>
          </w:p>
        </w:tc>
        <w:tc>
          <w:tcPr>
            <w:tcW w:w="7619" w:type="dxa"/>
            <w:tcBorders>
              <w:top w:val="single" w:sz="4" w:space="0" w:color="000000"/>
              <w:left w:val="single" w:sz="4" w:space="0" w:color="000000"/>
              <w:bottom w:val="single" w:sz="4" w:space="0" w:color="000000"/>
              <w:right w:val="single" w:sz="4" w:space="0" w:color="000000"/>
            </w:tcBorders>
          </w:tcPr>
          <w:p w14:paraId="3963132F" w14:textId="77777777" w:rsidR="00D84F5E" w:rsidRDefault="00000000">
            <w:r>
              <w:rPr>
                <w:sz w:val="24"/>
              </w:rPr>
              <w:t xml:space="preserve">Monitor – 27 cali  (zgodnie ze specyfikacją – Tab. 2) </w:t>
            </w:r>
          </w:p>
        </w:tc>
        <w:tc>
          <w:tcPr>
            <w:tcW w:w="1276" w:type="dxa"/>
            <w:tcBorders>
              <w:top w:val="single" w:sz="4" w:space="0" w:color="000000"/>
              <w:left w:val="single" w:sz="4" w:space="0" w:color="000000"/>
              <w:bottom w:val="single" w:sz="4" w:space="0" w:color="000000"/>
              <w:right w:val="single" w:sz="4" w:space="0" w:color="000000"/>
            </w:tcBorders>
          </w:tcPr>
          <w:p w14:paraId="28E3CF49" w14:textId="0183352D" w:rsidR="00D84F5E" w:rsidRDefault="00E23565">
            <w:r>
              <w:rPr>
                <w:sz w:val="24"/>
              </w:rPr>
              <w:t xml:space="preserve">14 szt. </w:t>
            </w:r>
          </w:p>
        </w:tc>
      </w:tr>
    </w:tbl>
    <w:p w14:paraId="363206AE" w14:textId="77777777" w:rsidR="00D84F5E" w:rsidRDefault="00000000">
      <w:pPr>
        <w:numPr>
          <w:ilvl w:val="0"/>
          <w:numId w:val="1"/>
        </w:numPr>
        <w:spacing w:after="96"/>
        <w:ind w:right="187" w:hanging="708"/>
      </w:pPr>
      <w:r>
        <w:rPr>
          <w:sz w:val="24"/>
        </w:rPr>
        <w:t xml:space="preserve">Specyfikacja techniczna zamawianych elementów: </w:t>
      </w:r>
    </w:p>
    <w:p w14:paraId="3837204C" w14:textId="77777777" w:rsidR="00D84F5E" w:rsidRDefault="00000000">
      <w:pPr>
        <w:spacing w:after="159"/>
        <w:ind w:left="9" w:right="374" w:hanging="10"/>
      </w:pPr>
      <w:r>
        <w:rPr>
          <w:sz w:val="24"/>
        </w:rPr>
        <w:t xml:space="preserve">Jeśli wyraźnie nie oznaczono inaczej Zamawiający wymaga aby oferowany sprzęt spełniał wszystkie niżej wymienione wymagania minimum w zakresie wyspecyfikowanym lub wyższym. </w:t>
      </w:r>
    </w:p>
    <w:p w14:paraId="35DECA58" w14:textId="77777777" w:rsidR="00D84F5E" w:rsidRDefault="00000000">
      <w:pPr>
        <w:spacing w:after="0"/>
        <w:ind w:left="14"/>
      </w:pPr>
      <w:r>
        <w:rPr>
          <w:sz w:val="24"/>
        </w:rPr>
        <w:t xml:space="preserve"> </w:t>
      </w:r>
    </w:p>
    <w:p w14:paraId="3F05576D" w14:textId="77777777" w:rsidR="00D84F5E" w:rsidRDefault="00000000">
      <w:pPr>
        <w:spacing w:after="1"/>
        <w:ind w:left="-5" w:hanging="10"/>
      </w:pPr>
      <w:r>
        <w:rPr>
          <w:b/>
          <w:sz w:val="24"/>
        </w:rPr>
        <w:t xml:space="preserve">Tabela 1. Zestaw komputerowy „biurowy i multimedia” wraz z systemem operacyjnym </w:t>
      </w:r>
    </w:p>
    <w:p w14:paraId="4AF7D90C" w14:textId="77777777" w:rsidR="00D84F5E" w:rsidRDefault="00000000">
      <w:pPr>
        <w:spacing w:after="0"/>
        <w:ind w:left="14"/>
      </w:pPr>
      <w:r>
        <w:rPr>
          <w:b/>
          <w:sz w:val="24"/>
        </w:rPr>
        <w:t xml:space="preserve"> </w:t>
      </w:r>
      <w:r>
        <w:rPr>
          <w:sz w:val="24"/>
        </w:rPr>
        <w:t xml:space="preserve"> </w:t>
      </w:r>
    </w:p>
    <w:tbl>
      <w:tblPr>
        <w:tblStyle w:val="TableGrid"/>
        <w:tblW w:w="9690" w:type="dxa"/>
        <w:tblInd w:w="-127" w:type="dxa"/>
        <w:tblCellMar>
          <w:top w:w="106" w:type="dxa"/>
          <w:left w:w="62" w:type="dxa"/>
          <w:bottom w:w="5" w:type="dxa"/>
          <w:right w:w="18" w:type="dxa"/>
        </w:tblCellMar>
        <w:tblLook w:val="04A0" w:firstRow="1" w:lastRow="0" w:firstColumn="1" w:lastColumn="0" w:noHBand="0" w:noVBand="1"/>
      </w:tblPr>
      <w:tblGrid>
        <w:gridCol w:w="569"/>
        <w:gridCol w:w="1486"/>
        <w:gridCol w:w="216"/>
        <w:gridCol w:w="7419"/>
      </w:tblGrid>
      <w:tr w:rsidR="00D84F5E" w14:paraId="7F7F36CD" w14:textId="77777777" w:rsidTr="00FB4A72">
        <w:tc>
          <w:tcPr>
            <w:tcW w:w="569" w:type="dxa"/>
            <w:tcBorders>
              <w:top w:val="single" w:sz="4" w:space="0" w:color="000000"/>
              <w:left w:val="single" w:sz="4" w:space="0" w:color="000000"/>
              <w:bottom w:val="single" w:sz="4" w:space="0" w:color="000000"/>
              <w:right w:val="single" w:sz="4" w:space="0" w:color="000000"/>
            </w:tcBorders>
          </w:tcPr>
          <w:p w14:paraId="214E8325" w14:textId="77777777" w:rsidR="00D84F5E" w:rsidRDefault="00000000">
            <w:pPr>
              <w:ind w:left="10"/>
              <w:jc w:val="both"/>
            </w:pPr>
            <w:r>
              <w:rPr>
                <w:b/>
                <w:sz w:val="24"/>
              </w:rPr>
              <w:t xml:space="preserve">L.p. </w:t>
            </w:r>
            <w:r>
              <w:rPr>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5C09D77D" w14:textId="77777777" w:rsidR="00D84F5E" w:rsidRDefault="00000000">
            <w:pPr>
              <w:ind w:left="10"/>
            </w:pPr>
            <w:r>
              <w:rPr>
                <w:b/>
                <w:sz w:val="24"/>
              </w:rPr>
              <w:t xml:space="preserve">Nazwa komponentu </w:t>
            </w:r>
          </w:p>
          <w:p w14:paraId="009CC755" w14:textId="77777777" w:rsidR="00D84F5E" w:rsidRDefault="00000000">
            <w:pPr>
              <w:ind w:left="10"/>
            </w:pPr>
            <w:r>
              <w:rPr>
                <w:b/>
                <w:sz w:val="24"/>
              </w:rPr>
              <w:t xml:space="preserve">lub </w:t>
            </w:r>
          </w:p>
          <w:p w14:paraId="1997B118" w14:textId="77777777" w:rsidR="00D84F5E" w:rsidRDefault="00000000">
            <w:pPr>
              <w:ind w:left="10"/>
              <w:jc w:val="both"/>
            </w:pPr>
            <w:r>
              <w:rPr>
                <w:b/>
                <w:sz w:val="24"/>
              </w:rPr>
              <w:t xml:space="preserve">funkcjonalności </w:t>
            </w:r>
          </w:p>
        </w:tc>
        <w:tc>
          <w:tcPr>
            <w:tcW w:w="7419" w:type="dxa"/>
            <w:tcBorders>
              <w:top w:val="single" w:sz="4" w:space="0" w:color="000000"/>
              <w:left w:val="single" w:sz="4" w:space="0" w:color="000000"/>
              <w:bottom w:val="single" w:sz="4" w:space="0" w:color="000000"/>
              <w:right w:val="single" w:sz="4" w:space="0" w:color="000000"/>
            </w:tcBorders>
          </w:tcPr>
          <w:p w14:paraId="6B719572" w14:textId="77777777" w:rsidR="00D84F5E" w:rsidRDefault="00000000">
            <w:pPr>
              <w:ind w:left="10"/>
            </w:pPr>
            <w:r>
              <w:rPr>
                <w:b/>
                <w:sz w:val="24"/>
              </w:rPr>
              <w:t>Wymagane minimalne parametry techniczne komponentu lub funkcjonalności</w:t>
            </w:r>
            <w:r>
              <w:rPr>
                <w:sz w:val="24"/>
              </w:rPr>
              <w:t xml:space="preserve"> </w:t>
            </w:r>
          </w:p>
        </w:tc>
      </w:tr>
      <w:tr w:rsidR="00D84F5E" w14:paraId="4B3DF06E" w14:textId="77777777" w:rsidTr="00FB4A72">
        <w:tc>
          <w:tcPr>
            <w:tcW w:w="569" w:type="dxa"/>
            <w:tcBorders>
              <w:top w:val="single" w:sz="4" w:space="0" w:color="000000"/>
              <w:left w:val="single" w:sz="4" w:space="0" w:color="000000"/>
              <w:bottom w:val="single" w:sz="4" w:space="0" w:color="000000"/>
              <w:right w:val="single" w:sz="4" w:space="0" w:color="000000"/>
            </w:tcBorders>
          </w:tcPr>
          <w:p w14:paraId="4E664CC9" w14:textId="77777777" w:rsidR="00D84F5E" w:rsidRDefault="00000000">
            <w:pPr>
              <w:ind w:left="10"/>
            </w:pPr>
            <w:r>
              <w:rPr>
                <w:sz w:val="24"/>
              </w:rPr>
              <w:t xml:space="preserve">1.  </w:t>
            </w:r>
          </w:p>
        </w:tc>
        <w:tc>
          <w:tcPr>
            <w:tcW w:w="1702" w:type="dxa"/>
            <w:gridSpan w:val="2"/>
            <w:tcBorders>
              <w:top w:val="single" w:sz="4" w:space="0" w:color="000000"/>
              <w:left w:val="single" w:sz="4" w:space="0" w:color="000000"/>
              <w:bottom w:val="single" w:sz="4" w:space="0" w:color="000000"/>
              <w:right w:val="single" w:sz="4" w:space="0" w:color="000000"/>
            </w:tcBorders>
          </w:tcPr>
          <w:p w14:paraId="459C8DAA" w14:textId="77777777" w:rsidR="00D84F5E" w:rsidRDefault="00000000">
            <w:pPr>
              <w:ind w:left="10"/>
            </w:pPr>
            <w:r>
              <w:rPr>
                <w:sz w:val="24"/>
              </w:rPr>
              <w:t xml:space="preserve">Typ  </w:t>
            </w:r>
          </w:p>
        </w:tc>
        <w:tc>
          <w:tcPr>
            <w:tcW w:w="7419" w:type="dxa"/>
            <w:tcBorders>
              <w:top w:val="single" w:sz="4" w:space="0" w:color="000000"/>
              <w:left w:val="single" w:sz="4" w:space="0" w:color="000000"/>
              <w:bottom w:val="single" w:sz="4" w:space="0" w:color="000000"/>
              <w:right w:val="single" w:sz="4" w:space="0" w:color="000000"/>
            </w:tcBorders>
            <w:vAlign w:val="bottom"/>
          </w:tcPr>
          <w:p w14:paraId="21F39A03" w14:textId="77777777" w:rsidR="00D84F5E" w:rsidRDefault="00000000">
            <w:pPr>
              <w:ind w:left="10"/>
            </w:pPr>
            <w:r>
              <w:rPr>
                <w:sz w:val="24"/>
              </w:rPr>
              <w:t xml:space="preserve">Komputer stacjonarny. W ofercie wymagane jest podanie modelu, symbolu oraz producenta.  </w:t>
            </w:r>
          </w:p>
          <w:p w14:paraId="1968241B" w14:textId="77777777" w:rsidR="00D84F5E" w:rsidRDefault="00000000">
            <w:pPr>
              <w:ind w:left="10"/>
            </w:pPr>
            <w:r>
              <w:rPr>
                <w:sz w:val="24"/>
              </w:rPr>
              <w:t xml:space="preserve">Zamawiający wymaga dostarczenia jednolitej wersji komponentów dla całej puli urządzeń objętych zamówieniem. </w:t>
            </w:r>
          </w:p>
        </w:tc>
      </w:tr>
      <w:tr w:rsidR="00D84F5E" w14:paraId="65D76ED5" w14:textId="77777777" w:rsidTr="00FB4A72">
        <w:tc>
          <w:tcPr>
            <w:tcW w:w="569" w:type="dxa"/>
            <w:tcBorders>
              <w:top w:val="single" w:sz="4" w:space="0" w:color="000000"/>
              <w:left w:val="single" w:sz="4" w:space="0" w:color="000000"/>
              <w:bottom w:val="single" w:sz="4" w:space="0" w:color="000000"/>
              <w:right w:val="single" w:sz="4" w:space="0" w:color="000000"/>
            </w:tcBorders>
          </w:tcPr>
          <w:p w14:paraId="223D96E3" w14:textId="77777777" w:rsidR="00D84F5E" w:rsidRDefault="00000000">
            <w:pPr>
              <w:ind w:left="10"/>
            </w:pPr>
            <w:r>
              <w:rPr>
                <w:sz w:val="24"/>
              </w:rPr>
              <w:t xml:space="preserve">2.  </w:t>
            </w:r>
          </w:p>
        </w:tc>
        <w:tc>
          <w:tcPr>
            <w:tcW w:w="1702" w:type="dxa"/>
            <w:gridSpan w:val="2"/>
            <w:tcBorders>
              <w:top w:val="single" w:sz="4" w:space="0" w:color="000000"/>
              <w:left w:val="single" w:sz="4" w:space="0" w:color="000000"/>
              <w:bottom w:val="single" w:sz="4" w:space="0" w:color="000000"/>
              <w:right w:val="single" w:sz="4" w:space="0" w:color="000000"/>
            </w:tcBorders>
          </w:tcPr>
          <w:p w14:paraId="2FD23DA9" w14:textId="77777777" w:rsidR="00D84F5E" w:rsidRDefault="00000000">
            <w:pPr>
              <w:ind w:left="10"/>
            </w:pPr>
            <w:r>
              <w:rPr>
                <w:sz w:val="24"/>
              </w:rPr>
              <w:t xml:space="preserve">Zastosowanie: </w:t>
            </w:r>
          </w:p>
        </w:tc>
        <w:tc>
          <w:tcPr>
            <w:tcW w:w="7419" w:type="dxa"/>
            <w:tcBorders>
              <w:top w:val="single" w:sz="4" w:space="0" w:color="000000"/>
              <w:left w:val="single" w:sz="4" w:space="0" w:color="000000"/>
              <w:bottom w:val="single" w:sz="4" w:space="0" w:color="000000"/>
              <w:right w:val="single" w:sz="4" w:space="0" w:color="000000"/>
            </w:tcBorders>
            <w:vAlign w:val="bottom"/>
          </w:tcPr>
          <w:p w14:paraId="2F9442E7" w14:textId="77777777" w:rsidR="00D84F5E" w:rsidRDefault="00000000">
            <w:pPr>
              <w:ind w:left="10"/>
            </w:pPr>
            <w:r>
              <w:rPr>
                <w:sz w:val="24"/>
              </w:rPr>
              <w:t xml:space="preserve">Komputer będzie wykorzystywany dla potrzeb aplikacji biurowych, multimediów, dostępu do internetu oraz poczty elektronicznej, aplikacji GIS </w:t>
            </w:r>
          </w:p>
        </w:tc>
      </w:tr>
      <w:tr w:rsidR="00E23565" w:rsidRPr="00E23565" w14:paraId="69A28C41" w14:textId="77777777" w:rsidTr="00FB4A72">
        <w:tc>
          <w:tcPr>
            <w:tcW w:w="569" w:type="dxa"/>
            <w:tcBorders>
              <w:top w:val="single" w:sz="4" w:space="0" w:color="000000"/>
              <w:left w:val="single" w:sz="4" w:space="0" w:color="000000"/>
              <w:bottom w:val="single" w:sz="4" w:space="0" w:color="000000"/>
              <w:right w:val="single" w:sz="4" w:space="0" w:color="000000"/>
            </w:tcBorders>
          </w:tcPr>
          <w:p w14:paraId="14C3D632" w14:textId="77777777" w:rsidR="00D84F5E" w:rsidRPr="00E23565" w:rsidRDefault="00000000">
            <w:pPr>
              <w:ind w:left="10"/>
              <w:rPr>
                <w:color w:val="auto"/>
              </w:rPr>
            </w:pPr>
            <w:r w:rsidRPr="00E23565">
              <w:rPr>
                <w:color w:val="auto"/>
                <w:sz w:val="24"/>
              </w:rPr>
              <w:t xml:space="preserve">3.  </w:t>
            </w:r>
          </w:p>
        </w:tc>
        <w:tc>
          <w:tcPr>
            <w:tcW w:w="1702" w:type="dxa"/>
            <w:gridSpan w:val="2"/>
            <w:tcBorders>
              <w:top w:val="single" w:sz="4" w:space="0" w:color="000000"/>
              <w:left w:val="single" w:sz="4" w:space="0" w:color="000000"/>
              <w:bottom w:val="single" w:sz="4" w:space="0" w:color="000000"/>
              <w:right w:val="single" w:sz="4" w:space="0" w:color="000000"/>
            </w:tcBorders>
          </w:tcPr>
          <w:p w14:paraId="37FCF676" w14:textId="77777777" w:rsidR="00D84F5E" w:rsidRPr="00E23565" w:rsidRDefault="00000000">
            <w:pPr>
              <w:ind w:left="10"/>
              <w:rPr>
                <w:color w:val="auto"/>
              </w:rPr>
            </w:pPr>
            <w:r w:rsidRPr="00E23565">
              <w:rPr>
                <w:color w:val="auto"/>
                <w:sz w:val="24"/>
              </w:rPr>
              <w:t xml:space="preserve">Procesor   </w:t>
            </w:r>
          </w:p>
          <w:p w14:paraId="7E87CC7A" w14:textId="77777777" w:rsidR="00D84F5E" w:rsidRPr="00E23565" w:rsidRDefault="00000000">
            <w:pPr>
              <w:ind w:left="10"/>
              <w:rPr>
                <w:color w:val="auto"/>
              </w:rPr>
            </w:pPr>
            <w:r w:rsidRPr="00E23565">
              <w:rPr>
                <w:color w:val="auto"/>
                <w:sz w:val="24"/>
              </w:rPr>
              <w:t xml:space="preserve">  </w:t>
            </w:r>
          </w:p>
        </w:tc>
        <w:tc>
          <w:tcPr>
            <w:tcW w:w="7419" w:type="dxa"/>
            <w:tcBorders>
              <w:top w:val="single" w:sz="4" w:space="0" w:color="000000"/>
              <w:left w:val="single" w:sz="4" w:space="0" w:color="000000"/>
              <w:bottom w:val="single" w:sz="4" w:space="0" w:color="000000"/>
              <w:right w:val="single" w:sz="4" w:space="0" w:color="000000"/>
            </w:tcBorders>
          </w:tcPr>
          <w:p w14:paraId="3ABC6CB1" w14:textId="236C2CDD" w:rsidR="00D84F5E" w:rsidRPr="00E23565" w:rsidRDefault="00000000">
            <w:pPr>
              <w:rPr>
                <w:color w:val="auto"/>
              </w:rPr>
            </w:pPr>
            <w:r w:rsidRPr="00E23565">
              <w:rPr>
                <w:color w:val="auto"/>
                <w:sz w:val="24"/>
              </w:rPr>
              <w:t>Komputer powinien osiągać w teście wydajności SysMark 25 Overall Rating (wersja 1.0.2.34</w:t>
            </w:r>
            <w:r w:rsidR="00E23565">
              <w:rPr>
                <w:color w:val="auto"/>
                <w:sz w:val="24"/>
              </w:rPr>
              <w:t xml:space="preserve"> lub nowsza</w:t>
            </w:r>
            <w:r w:rsidRPr="00E23565">
              <w:rPr>
                <w:color w:val="auto"/>
                <w:sz w:val="24"/>
              </w:rPr>
              <w:t xml:space="preserve">) wynik minimum 1300 pkt. Wymagane testy wydajnościowe Wykonawca musi przeprowadzić na </w:t>
            </w:r>
            <w:r w:rsidR="005D2697" w:rsidRPr="005D2697">
              <w:rPr>
                <w:color w:val="auto"/>
                <w:sz w:val="24"/>
              </w:rPr>
              <w:t xml:space="preserve">oferowanym systemie operacyjnym </w:t>
            </w:r>
            <w:r w:rsidR="005D2697">
              <w:rPr>
                <w:color w:val="auto"/>
                <w:sz w:val="24"/>
              </w:rPr>
              <w:t xml:space="preserve">i </w:t>
            </w:r>
            <w:r w:rsidRPr="00E23565">
              <w:rPr>
                <w:color w:val="auto"/>
                <w:sz w:val="24"/>
              </w:rPr>
              <w:t xml:space="preserve">automatycznych ustawieniach konfiguratora dołączonego przez firmę BAPCO i przy natywnej rozdzielczości wyświetlacza (1920x1080 x 60 hertz) oraz włączonych wszystkich urządzaniach. Nie dopuszcza się stosowanie overclokingu, oprogramowania wspomagającego pochodzącego z innego źródła niż fabrycznie zainstalowane oprogramowanie przez producenta.  </w:t>
            </w:r>
          </w:p>
        </w:tc>
      </w:tr>
      <w:tr w:rsidR="00E23565" w:rsidRPr="00E23565" w14:paraId="294BEB5C" w14:textId="77777777" w:rsidTr="00FB4A72">
        <w:tblPrEx>
          <w:tblCellMar>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34540852" w14:textId="77777777" w:rsidR="00D84F5E" w:rsidRPr="00E23565" w:rsidRDefault="00D84F5E">
            <w:pPr>
              <w:rPr>
                <w:color w:val="auto"/>
              </w:rPr>
            </w:pPr>
          </w:p>
        </w:tc>
        <w:tc>
          <w:tcPr>
            <w:tcW w:w="1702" w:type="dxa"/>
            <w:gridSpan w:val="2"/>
            <w:tcBorders>
              <w:top w:val="single" w:sz="4" w:space="0" w:color="000000"/>
              <w:left w:val="single" w:sz="4" w:space="0" w:color="000000"/>
              <w:bottom w:val="single" w:sz="4" w:space="0" w:color="000000"/>
              <w:right w:val="single" w:sz="4" w:space="0" w:color="000000"/>
            </w:tcBorders>
          </w:tcPr>
          <w:p w14:paraId="16CFFD52" w14:textId="77777777" w:rsidR="00D84F5E" w:rsidRPr="00E23565" w:rsidRDefault="00D84F5E">
            <w:pPr>
              <w:rPr>
                <w:color w:val="auto"/>
              </w:rPr>
            </w:pPr>
          </w:p>
        </w:tc>
        <w:tc>
          <w:tcPr>
            <w:tcW w:w="7419" w:type="dxa"/>
            <w:tcBorders>
              <w:top w:val="single" w:sz="4" w:space="0" w:color="000000"/>
              <w:left w:val="single" w:sz="4" w:space="0" w:color="000000"/>
              <w:bottom w:val="single" w:sz="4" w:space="0" w:color="000000"/>
              <w:right w:val="single" w:sz="4" w:space="0" w:color="000000"/>
            </w:tcBorders>
            <w:vAlign w:val="bottom"/>
          </w:tcPr>
          <w:p w14:paraId="252AD312" w14:textId="77777777" w:rsidR="005D2697" w:rsidRPr="005D2697" w:rsidRDefault="005D2697" w:rsidP="005D2697">
            <w:pPr>
              <w:spacing w:line="276" w:lineRule="auto"/>
              <w:rPr>
                <w:color w:val="auto"/>
                <w:sz w:val="24"/>
              </w:rPr>
            </w:pPr>
            <w:r w:rsidRPr="005D2697">
              <w:rPr>
                <w:color w:val="auto"/>
                <w:sz w:val="24"/>
              </w:rPr>
              <w:t>Potwierdzeniem spełnienia tego wymogu będzie dokument</w:t>
            </w:r>
          </w:p>
          <w:p w14:paraId="76F02391" w14:textId="77777777" w:rsidR="005D2697" w:rsidRPr="005D2697" w:rsidRDefault="005D2697" w:rsidP="005D2697">
            <w:pPr>
              <w:spacing w:line="276" w:lineRule="auto"/>
              <w:rPr>
                <w:color w:val="auto"/>
                <w:sz w:val="24"/>
              </w:rPr>
            </w:pPr>
            <w:r w:rsidRPr="005D2697">
              <w:rPr>
                <w:color w:val="auto"/>
                <w:sz w:val="24"/>
              </w:rPr>
              <w:t xml:space="preserve">potwierdzający, że procesor w oferowanej konfiguracji komputera osiągnął w przeprowadzonych testach wymagany wynik. </w:t>
            </w:r>
          </w:p>
          <w:p w14:paraId="75915D32" w14:textId="00B51800" w:rsidR="005D2697" w:rsidRPr="005D2697" w:rsidRDefault="005D2697" w:rsidP="005D2697">
            <w:pPr>
              <w:spacing w:line="276" w:lineRule="auto"/>
              <w:rPr>
                <w:color w:val="auto"/>
                <w:sz w:val="24"/>
              </w:rPr>
            </w:pPr>
            <w:r w:rsidRPr="005D2697">
              <w:rPr>
                <w:color w:val="auto"/>
                <w:sz w:val="24"/>
              </w:rPr>
              <w:t xml:space="preserve">Testy dla oferowanego modelu w oferowanej konfiguracji muszą być opublikowane i ogólnie dostępne na stronie </w:t>
            </w:r>
            <w:hyperlink r:id="rId7" w:history="1">
              <w:r w:rsidRPr="00E17582">
                <w:rPr>
                  <w:rStyle w:val="Hipercze"/>
                  <w:sz w:val="24"/>
                </w:rPr>
                <w:t>https://results.bapco.com/results/benchmark/SYSmark_25</w:t>
              </w:r>
            </w:hyperlink>
            <w:r>
              <w:rPr>
                <w:color w:val="auto"/>
                <w:sz w:val="24"/>
              </w:rPr>
              <w:t xml:space="preserve"> </w:t>
            </w:r>
            <w:r w:rsidRPr="005D2697">
              <w:rPr>
                <w:color w:val="auto"/>
                <w:sz w:val="24"/>
              </w:rPr>
              <w:t>najpóźniej w</w:t>
            </w:r>
            <w:r>
              <w:rPr>
                <w:color w:val="auto"/>
                <w:sz w:val="24"/>
              </w:rPr>
              <w:t> </w:t>
            </w:r>
            <w:r w:rsidRPr="005D2697">
              <w:rPr>
                <w:color w:val="auto"/>
                <w:sz w:val="24"/>
              </w:rPr>
              <w:t>dniu dostawy zaoferowanych urządzeń. (Wykonawca przyjmuje do wiadomości, że od chwili wysłania testów do publikacji do czasu opublikowania mija minimum 11 dni).</w:t>
            </w:r>
          </w:p>
          <w:p w14:paraId="64B13A2D" w14:textId="77777777" w:rsidR="005D2697" w:rsidRPr="005D2697" w:rsidRDefault="005D2697" w:rsidP="005D2697">
            <w:pPr>
              <w:spacing w:line="276" w:lineRule="auto"/>
              <w:rPr>
                <w:color w:val="auto"/>
                <w:sz w:val="24"/>
              </w:rPr>
            </w:pPr>
            <w:r w:rsidRPr="005D2697">
              <w:rPr>
                <w:color w:val="auto"/>
                <w:sz w:val="24"/>
              </w:rPr>
              <w:t xml:space="preserve">Wykonawca złoży dokument potwierdzający spełnianie wymogu, tj. wydruk z ww. strony internetowej potwierdzający, że oferowany model komputera w oferowanej konfiguracji umożliwia osiągniecie powyższego wyniku. </w:t>
            </w:r>
          </w:p>
          <w:p w14:paraId="7E11C9A7" w14:textId="77777777" w:rsidR="005D2697" w:rsidRPr="005D2697" w:rsidRDefault="005D2697" w:rsidP="005D2697">
            <w:pPr>
              <w:spacing w:line="276" w:lineRule="auto"/>
              <w:rPr>
                <w:color w:val="auto"/>
                <w:sz w:val="24"/>
              </w:rPr>
            </w:pPr>
            <w:r w:rsidRPr="005D2697">
              <w:rPr>
                <w:color w:val="auto"/>
                <w:sz w:val="24"/>
              </w:rPr>
              <w:t>Do oferty Wykonawca załączy oświadczenie „własne”, że oferowany komputer w ww. teście osiąga wynik co najmniej na poziomie 1150 pkt.</w:t>
            </w:r>
          </w:p>
          <w:p w14:paraId="0B720ECC" w14:textId="77777777" w:rsidR="005D2697" w:rsidRPr="005D2697" w:rsidRDefault="005D2697" w:rsidP="005D2697">
            <w:pPr>
              <w:spacing w:line="276" w:lineRule="auto"/>
              <w:rPr>
                <w:b/>
                <w:bCs/>
                <w:color w:val="auto"/>
                <w:sz w:val="24"/>
              </w:rPr>
            </w:pPr>
            <w:r w:rsidRPr="005D2697">
              <w:rPr>
                <w:b/>
                <w:bCs/>
                <w:color w:val="auto"/>
                <w:sz w:val="24"/>
              </w:rPr>
              <w:t>Zamawiający zastrzega sobie, iż w celu sprawdzenia poprawności przeprowadzonych wszystkich wymaganych testów może żądać od Wykonawcy dostarczenia komputera w zaoferowanej konfiguracji zgodnej z wymaganiami opisu przedmiotu zamówienia do testu oraz dokładnego opisu metodyki przeprowadzonego testu w celu ich sprawdzenia w stosownym terminie wyznaczonym przez Zamawiającego.</w:t>
            </w:r>
          </w:p>
          <w:p w14:paraId="31AE56CA" w14:textId="77777777" w:rsidR="005D2697" w:rsidRPr="005D2697" w:rsidRDefault="005D2697" w:rsidP="005D2697">
            <w:pPr>
              <w:spacing w:line="276" w:lineRule="auto"/>
              <w:rPr>
                <w:color w:val="auto"/>
                <w:sz w:val="24"/>
              </w:rPr>
            </w:pPr>
            <w:r w:rsidRPr="005D2697">
              <w:rPr>
                <w:color w:val="auto"/>
                <w:sz w:val="24"/>
              </w:rPr>
              <w:t>Zamawiający oświadcza, że ma możliwość wykonania wyżej opisanych testów we własnym zakresie i dopuszcza taką opcję w zastępstwie wcześniej opisanej procedury. W takim przypadku Wykonawca:</w:t>
            </w:r>
          </w:p>
          <w:p w14:paraId="08446372" w14:textId="77777777" w:rsidR="005D2697" w:rsidRPr="005D2697" w:rsidRDefault="005D2697" w:rsidP="005D2697">
            <w:pPr>
              <w:spacing w:line="276" w:lineRule="auto"/>
              <w:rPr>
                <w:color w:val="auto"/>
                <w:sz w:val="24"/>
              </w:rPr>
            </w:pPr>
            <w:r w:rsidRPr="005D2697">
              <w:rPr>
                <w:color w:val="auto"/>
                <w:sz w:val="24"/>
              </w:rPr>
              <w:t>- do oferty załączy oświadczenie „własne”, że oferowany komputer w ww. teście osiąga wynik co najmniej na poziomie 1150 pkt.;</w:t>
            </w:r>
          </w:p>
          <w:p w14:paraId="42A7BAA5" w14:textId="77777777" w:rsidR="005D2697" w:rsidRPr="005D2697" w:rsidRDefault="005D2697" w:rsidP="005D2697">
            <w:pPr>
              <w:spacing w:line="276" w:lineRule="auto"/>
              <w:rPr>
                <w:color w:val="auto"/>
                <w:sz w:val="24"/>
              </w:rPr>
            </w:pPr>
            <w:r w:rsidRPr="005D2697">
              <w:rPr>
                <w:color w:val="auto"/>
                <w:sz w:val="24"/>
              </w:rPr>
              <w:t xml:space="preserve">- dostarczy oferowany komputer (próbkę) w zaoferowanej konfiguracji zgodnej z wymaganiami opisu przedmiotu zamówienia do testu, minimum na 7 dni przed terminem dostawy; </w:t>
            </w:r>
          </w:p>
          <w:p w14:paraId="37B0288E" w14:textId="77777777" w:rsidR="005D2697" w:rsidRPr="005D2697" w:rsidRDefault="005D2697" w:rsidP="005D2697">
            <w:pPr>
              <w:spacing w:line="276" w:lineRule="auto"/>
              <w:rPr>
                <w:color w:val="auto"/>
                <w:sz w:val="24"/>
              </w:rPr>
            </w:pPr>
            <w:r w:rsidRPr="005D2697">
              <w:rPr>
                <w:color w:val="auto"/>
                <w:sz w:val="24"/>
              </w:rPr>
              <w:t xml:space="preserve">- zamawiający wykona niezbędne testy we własnym zakresie i poinformuje Wykonawcę o wyniku; </w:t>
            </w:r>
          </w:p>
          <w:p w14:paraId="2D5B795F" w14:textId="7B134F08" w:rsidR="00D84F5E" w:rsidRPr="00E23565" w:rsidRDefault="005D2697" w:rsidP="005D2697">
            <w:pPr>
              <w:spacing w:line="276" w:lineRule="auto"/>
              <w:rPr>
                <w:color w:val="auto"/>
              </w:rPr>
            </w:pPr>
            <w:r w:rsidRPr="005D2697">
              <w:rPr>
                <w:color w:val="auto"/>
                <w:sz w:val="24"/>
              </w:rPr>
              <w:t>- po zakończeniu testów próbki zostaną zwrócone Wykonawcy na jego koszt.</w:t>
            </w:r>
            <w:r w:rsidRPr="00E23565">
              <w:rPr>
                <w:color w:val="auto"/>
                <w:sz w:val="24"/>
              </w:rPr>
              <w:t>”</w:t>
            </w:r>
            <w:r w:rsidRPr="00E23565">
              <w:rPr>
                <w:b/>
                <w:color w:val="auto"/>
                <w:sz w:val="24"/>
              </w:rPr>
              <w:t xml:space="preserve"> </w:t>
            </w:r>
          </w:p>
        </w:tc>
      </w:tr>
      <w:tr w:rsidR="00D84F5E" w14:paraId="69F38E9C" w14:textId="77777777" w:rsidTr="00FB4A72">
        <w:tblPrEx>
          <w:tblCellMar>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6090E496" w14:textId="77777777" w:rsidR="00D84F5E" w:rsidRDefault="00000000">
            <w:pPr>
              <w:ind w:left="10"/>
            </w:pPr>
            <w:r>
              <w:rPr>
                <w:sz w:val="24"/>
              </w:rPr>
              <w:t xml:space="preserve">4.  </w:t>
            </w:r>
          </w:p>
        </w:tc>
        <w:tc>
          <w:tcPr>
            <w:tcW w:w="1702" w:type="dxa"/>
            <w:gridSpan w:val="2"/>
            <w:tcBorders>
              <w:top w:val="single" w:sz="4" w:space="0" w:color="000000"/>
              <w:left w:val="single" w:sz="4" w:space="0" w:color="000000"/>
              <w:bottom w:val="single" w:sz="4" w:space="0" w:color="000000"/>
              <w:right w:val="single" w:sz="4" w:space="0" w:color="000000"/>
            </w:tcBorders>
            <w:vAlign w:val="bottom"/>
          </w:tcPr>
          <w:p w14:paraId="319E493A" w14:textId="77777777" w:rsidR="00D84F5E" w:rsidRDefault="00000000">
            <w:pPr>
              <w:ind w:left="10"/>
            </w:pPr>
            <w:r>
              <w:rPr>
                <w:sz w:val="24"/>
              </w:rPr>
              <w:t xml:space="preserve">Pamięć operacyjna (RAM) </w:t>
            </w:r>
          </w:p>
        </w:tc>
        <w:tc>
          <w:tcPr>
            <w:tcW w:w="7419" w:type="dxa"/>
            <w:tcBorders>
              <w:top w:val="single" w:sz="4" w:space="0" w:color="000000"/>
              <w:left w:val="single" w:sz="4" w:space="0" w:color="000000"/>
              <w:bottom w:val="single" w:sz="4" w:space="0" w:color="000000"/>
              <w:right w:val="single" w:sz="4" w:space="0" w:color="000000"/>
            </w:tcBorders>
          </w:tcPr>
          <w:p w14:paraId="206BFDC7" w14:textId="77777777" w:rsidR="00D84F5E" w:rsidRDefault="00000000">
            <w:pPr>
              <w:ind w:left="10"/>
            </w:pPr>
            <w:r>
              <w:rPr>
                <w:sz w:val="24"/>
              </w:rPr>
              <w:t xml:space="preserve">16GB możliwość rozbudowy do min 32GB, minimum jeden wolny slot pamięci na ewentualną rozbudowę.  </w:t>
            </w:r>
          </w:p>
        </w:tc>
      </w:tr>
      <w:tr w:rsidR="00D84F5E" w14:paraId="45C88C5A" w14:textId="77777777" w:rsidTr="00FB4A72">
        <w:tblPrEx>
          <w:tblCellMar>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3FB2F646" w14:textId="77777777" w:rsidR="00D84F5E" w:rsidRDefault="00000000">
            <w:pPr>
              <w:ind w:left="10"/>
            </w:pPr>
            <w:r>
              <w:rPr>
                <w:sz w:val="24"/>
              </w:rPr>
              <w:t xml:space="preserve">5.  </w:t>
            </w:r>
          </w:p>
        </w:tc>
        <w:tc>
          <w:tcPr>
            <w:tcW w:w="1702" w:type="dxa"/>
            <w:gridSpan w:val="2"/>
            <w:tcBorders>
              <w:top w:val="single" w:sz="4" w:space="0" w:color="000000"/>
              <w:left w:val="single" w:sz="4" w:space="0" w:color="000000"/>
              <w:bottom w:val="single" w:sz="4" w:space="0" w:color="000000"/>
              <w:right w:val="single" w:sz="4" w:space="0" w:color="000000"/>
            </w:tcBorders>
            <w:vAlign w:val="bottom"/>
          </w:tcPr>
          <w:p w14:paraId="4F9EC215" w14:textId="77777777" w:rsidR="00D84F5E" w:rsidRDefault="00000000">
            <w:pPr>
              <w:ind w:left="10"/>
            </w:pPr>
            <w:r>
              <w:rPr>
                <w:sz w:val="24"/>
              </w:rPr>
              <w:t xml:space="preserve">Parametry pamięci masowej  </w:t>
            </w:r>
          </w:p>
        </w:tc>
        <w:tc>
          <w:tcPr>
            <w:tcW w:w="7419" w:type="dxa"/>
            <w:tcBorders>
              <w:top w:val="single" w:sz="4" w:space="0" w:color="000000"/>
              <w:left w:val="single" w:sz="4" w:space="0" w:color="000000"/>
              <w:bottom w:val="single" w:sz="4" w:space="0" w:color="000000"/>
              <w:right w:val="single" w:sz="4" w:space="0" w:color="000000"/>
            </w:tcBorders>
          </w:tcPr>
          <w:p w14:paraId="188873A0" w14:textId="77777777" w:rsidR="00D84F5E" w:rsidRDefault="00000000">
            <w:pPr>
              <w:ind w:left="10"/>
            </w:pPr>
            <w:r>
              <w:rPr>
                <w:sz w:val="24"/>
              </w:rPr>
              <w:t xml:space="preserve">Dysk w technologii SSD 500GB, szybkość zapisu sekwencyjnego minimum 1500 MB/s szybkość odczytu sekwencyjnego minimum 1500 MB/s </w:t>
            </w:r>
          </w:p>
        </w:tc>
      </w:tr>
      <w:tr w:rsidR="00D84F5E" w14:paraId="4E109730" w14:textId="77777777" w:rsidTr="00FB4A72">
        <w:tblPrEx>
          <w:tblCellMar>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39BD409F" w14:textId="77777777" w:rsidR="00D84F5E" w:rsidRDefault="00000000">
            <w:pPr>
              <w:ind w:left="10"/>
            </w:pPr>
            <w:r>
              <w:rPr>
                <w:sz w:val="24"/>
              </w:rPr>
              <w:lastRenderedPageBreak/>
              <w:t xml:space="preserve">6.  </w:t>
            </w:r>
          </w:p>
        </w:tc>
        <w:tc>
          <w:tcPr>
            <w:tcW w:w="1702" w:type="dxa"/>
            <w:gridSpan w:val="2"/>
            <w:tcBorders>
              <w:top w:val="single" w:sz="4" w:space="0" w:color="000000"/>
              <w:left w:val="single" w:sz="4" w:space="0" w:color="000000"/>
              <w:bottom w:val="single" w:sz="4" w:space="0" w:color="000000"/>
              <w:right w:val="single" w:sz="4" w:space="0" w:color="000000"/>
            </w:tcBorders>
          </w:tcPr>
          <w:p w14:paraId="2C64EB21" w14:textId="77777777" w:rsidR="00D84F5E" w:rsidRDefault="00000000">
            <w:pPr>
              <w:ind w:left="10"/>
            </w:pPr>
            <w:r>
              <w:rPr>
                <w:sz w:val="24"/>
              </w:rPr>
              <w:t xml:space="preserve">Wydajność  </w:t>
            </w:r>
          </w:p>
          <w:p w14:paraId="369D22E3" w14:textId="77777777" w:rsidR="00D84F5E" w:rsidRDefault="00000000">
            <w:pPr>
              <w:ind w:left="10"/>
            </w:pPr>
            <w:r>
              <w:rPr>
                <w:sz w:val="24"/>
              </w:rPr>
              <w:t xml:space="preserve">grafiki  </w:t>
            </w:r>
          </w:p>
        </w:tc>
        <w:tc>
          <w:tcPr>
            <w:tcW w:w="7419" w:type="dxa"/>
            <w:tcBorders>
              <w:top w:val="single" w:sz="4" w:space="0" w:color="000000"/>
              <w:left w:val="single" w:sz="4" w:space="0" w:color="000000"/>
              <w:bottom w:val="single" w:sz="4" w:space="0" w:color="000000"/>
              <w:right w:val="single" w:sz="4" w:space="0" w:color="000000"/>
            </w:tcBorders>
            <w:vAlign w:val="bottom"/>
          </w:tcPr>
          <w:p w14:paraId="45502665" w14:textId="77777777" w:rsidR="00D84F5E" w:rsidRDefault="00000000">
            <w:pPr>
              <w:spacing w:after="2" w:line="238" w:lineRule="auto"/>
              <w:ind w:left="10"/>
            </w:pPr>
            <w:r>
              <w:rPr>
                <w:sz w:val="24"/>
              </w:rPr>
              <w:t xml:space="preserve">Układ graficzny osiągający minimum 1200 punktów w teście Videocard Benchmarks – Passmark G3D Mark według zestawienia pod adresem </w:t>
            </w:r>
            <w:hyperlink r:id="rId8">
              <w:r>
                <w:rPr>
                  <w:color w:val="0000FF"/>
                  <w:sz w:val="24"/>
                  <w:u w:val="single" w:color="0000FF"/>
                </w:rPr>
                <w:t>https://www.videocardbenchmark.net/gpu_list.ph</w:t>
              </w:r>
            </w:hyperlink>
            <w:hyperlink r:id="rId9">
              <w:r>
                <w:rPr>
                  <w:color w:val="0000FF"/>
                  <w:sz w:val="24"/>
                  <w:u w:val="single" w:color="0000FF"/>
                </w:rPr>
                <w:t>p</w:t>
              </w:r>
            </w:hyperlink>
            <w:hyperlink r:id="rId10">
              <w:r>
                <w:rPr>
                  <w:sz w:val="24"/>
                </w:rPr>
                <w:t xml:space="preserve">  </w:t>
              </w:r>
            </w:hyperlink>
          </w:p>
          <w:p w14:paraId="2EDDD8EB" w14:textId="77777777" w:rsidR="00D84F5E" w:rsidRDefault="00000000">
            <w:pPr>
              <w:ind w:left="10"/>
            </w:pPr>
            <w:r>
              <w:rPr>
                <w:sz w:val="24"/>
              </w:rPr>
              <w:t xml:space="preserve">  </w:t>
            </w:r>
          </w:p>
          <w:p w14:paraId="0FD77C40" w14:textId="77777777" w:rsidR="00D84F5E" w:rsidRDefault="00000000">
            <w:pPr>
              <w:ind w:left="10"/>
              <w:jc w:val="both"/>
            </w:pPr>
            <w:r>
              <w:rPr>
                <w:sz w:val="24"/>
              </w:rPr>
              <w:t xml:space="preserve">Możliwość jednoczesnej pracy minimum na dwóch monitorach o rozdzielczości FullHD (1920x1080). </w:t>
            </w:r>
          </w:p>
          <w:p w14:paraId="58C664A9" w14:textId="77777777" w:rsidR="00D84F5E" w:rsidRDefault="00000000">
            <w:pPr>
              <w:ind w:left="10"/>
            </w:pPr>
            <w:r>
              <w:rPr>
                <w:sz w:val="24"/>
              </w:rPr>
              <w:t xml:space="preserve">Dostępne minimum jedno gniazdo HDMI oraz dwa gniazda DisplayPort. </w:t>
            </w:r>
          </w:p>
        </w:tc>
      </w:tr>
      <w:tr w:rsidR="00D84F5E" w14:paraId="0DEB10EC" w14:textId="77777777" w:rsidTr="00FB4A72">
        <w:tblPrEx>
          <w:tblCellMar>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6D84E693" w14:textId="77777777" w:rsidR="00D84F5E" w:rsidRDefault="00000000">
            <w:pPr>
              <w:ind w:left="10"/>
            </w:pPr>
            <w:r>
              <w:rPr>
                <w:sz w:val="24"/>
              </w:rPr>
              <w:t xml:space="preserve">7.  </w:t>
            </w:r>
          </w:p>
        </w:tc>
        <w:tc>
          <w:tcPr>
            <w:tcW w:w="1702" w:type="dxa"/>
            <w:gridSpan w:val="2"/>
            <w:tcBorders>
              <w:top w:val="single" w:sz="4" w:space="0" w:color="000000"/>
              <w:left w:val="single" w:sz="4" w:space="0" w:color="000000"/>
              <w:bottom w:val="single" w:sz="4" w:space="0" w:color="000000"/>
              <w:right w:val="single" w:sz="4" w:space="0" w:color="000000"/>
            </w:tcBorders>
          </w:tcPr>
          <w:p w14:paraId="1E8E82F3" w14:textId="77777777" w:rsidR="00D84F5E" w:rsidRDefault="00000000">
            <w:pPr>
              <w:ind w:left="10"/>
            </w:pPr>
            <w:r>
              <w:rPr>
                <w:sz w:val="24"/>
              </w:rPr>
              <w:t xml:space="preserve">Wyposażenie multimedialne  </w:t>
            </w:r>
          </w:p>
        </w:tc>
        <w:tc>
          <w:tcPr>
            <w:tcW w:w="7419" w:type="dxa"/>
            <w:tcBorders>
              <w:top w:val="single" w:sz="4" w:space="0" w:color="000000"/>
              <w:left w:val="single" w:sz="4" w:space="0" w:color="000000"/>
              <w:bottom w:val="single" w:sz="4" w:space="0" w:color="000000"/>
              <w:right w:val="single" w:sz="4" w:space="0" w:color="000000"/>
            </w:tcBorders>
            <w:vAlign w:val="bottom"/>
          </w:tcPr>
          <w:p w14:paraId="5C426D55" w14:textId="77777777" w:rsidR="00D84F5E" w:rsidRDefault="00000000">
            <w:pPr>
              <w:ind w:left="10"/>
              <w:jc w:val="both"/>
            </w:pPr>
            <w:r>
              <w:rPr>
                <w:sz w:val="24"/>
              </w:rPr>
              <w:t xml:space="preserve">Karta dźwiękowa zintegrowana z płytą główną, zgodna z High Definition, wewnętrzny głośnik 2W w obudowie komputera   </w:t>
            </w:r>
          </w:p>
          <w:p w14:paraId="7B693389" w14:textId="77777777" w:rsidR="00D84F5E" w:rsidRDefault="00000000">
            <w:pPr>
              <w:ind w:left="10"/>
            </w:pPr>
            <w:r>
              <w:rPr>
                <w:sz w:val="24"/>
              </w:rPr>
              <w:t xml:space="preserve">Porty słuchawek i mikrofonu na przednim oraz na tylnym panelu obudowy, dopuszcza się rozwiązanie port combo </w:t>
            </w:r>
          </w:p>
        </w:tc>
      </w:tr>
      <w:tr w:rsidR="00D84F5E" w14:paraId="7383E6C7" w14:textId="77777777" w:rsidTr="00FB4A72">
        <w:tblPrEx>
          <w:tblCellMar>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0DF4F4D8" w14:textId="77777777" w:rsidR="00D84F5E" w:rsidRDefault="00000000">
            <w:pPr>
              <w:ind w:left="10"/>
            </w:pPr>
            <w:r>
              <w:rPr>
                <w:sz w:val="24"/>
              </w:rPr>
              <w:t xml:space="preserve">8.  </w:t>
            </w:r>
          </w:p>
        </w:tc>
        <w:tc>
          <w:tcPr>
            <w:tcW w:w="1702" w:type="dxa"/>
            <w:gridSpan w:val="2"/>
            <w:tcBorders>
              <w:top w:val="single" w:sz="4" w:space="0" w:color="000000"/>
              <w:left w:val="single" w:sz="4" w:space="0" w:color="000000"/>
              <w:bottom w:val="single" w:sz="4" w:space="0" w:color="000000"/>
              <w:right w:val="single" w:sz="4" w:space="0" w:color="000000"/>
            </w:tcBorders>
          </w:tcPr>
          <w:p w14:paraId="0961C469" w14:textId="77777777" w:rsidR="00D84F5E" w:rsidRDefault="00000000">
            <w:pPr>
              <w:ind w:left="10"/>
            </w:pPr>
            <w:r>
              <w:rPr>
                <w:sz w:val="24"/>
              </w:rPr>
              <w:t xml:space="preserve">Obudowa  </w:t>
            </w:r>
          </w:p>
        </w:tc>
        <w:tc>
          <w:tcPr>
            <w:tcW w:w="7419" w:type="dxa"/>
            <w:tcBorders>
              <w:top w:val="single" w:sz="4" w:space="0" w:color="000000"/>
              <w:left w:val="single" w:sz="4" w:space="0" w:color="000000"/>
              <w:bottom w:val="single" w:sz="4" w:space="0" w:color="000000"/>
              <w:right w:val="single" w:sz="4" w:space="0" w:color="000000"/>
            </w:tcBorders>
          </w:tcPr>
          <w:p w14:paraId="06B89DA1" w14:textId="77777777" w:rsidR="00D84F5E" w:rsidRDefault="00000000">
            <w:pPr>
              <w:ind w:left="224" w:hanging="224"/>
              <w:jc w:val="both"/>
            </w:pPr>
            <w:r>
              <w:rPr>
                <w:rFonts w:ascii="Arial" w:eastAsia="Arial" w:hAnsi="Arial" w:cs="Arial"/>
                <w:sz w:val="20"/>
              </w:rPr>
              <w:t xml:space="preserve">• </w:t>
            </w:r>
            <w:r>
              <w:rPr>
                <w:sz w:val="24"/>
              </w:rPr>
              <w:t xml:space="preserve">typ obudowy SFF, kolor czarny lub zbliżony tej barwie, suma wymiarów obudowy nie może przekroczyć 70cm, maksymalna waga to 7kg  </w:t>
            </w:r>
          </w:p>
        </w:tc>
      </w:tr>
      <w:tr w:rsidR="00D84F5E" w14:paraId="7629C281" w14:textId="77777777" w:rsidTr="00FB4A72">
        <w:tblPrEx>
          <w:tblCellMar>
            <w:left w:w="0" w:type="dxa"/>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7FD0958E" w14:textId="77777777" w:rsidR="00D84F5E" w:rsidRDefault="00D84F5E"/>
        </w:tc>
        <w:tc>
          <w:tcPr>
            <w:tcW w:w="1702" w:type="dxa"/>
            <w:gridSpan w:val="2"/>
            <w:tcBorders>
              <w:top w:val="single" w:sz="4" w:space="0" w:color="000000"/>
              <w:left w:val="single" w:sz="4" w:space="0" w:color="000000"/>
              <w:bottom w:val="single" w:sz="4" w:space="0" w:color="000000"/>
              <w:right w:val="single" w:sz="4" w:space="0" w:color="000000"/>
            </w:tcBorders>
          </w:tcPr>
          <w:p w14:paraId="00066EDD" w14:textId="77777777" w:rsidR="00D84F5E" w:rsidRDefault="00D84F5E"/>
        </w:tc>
        <w:tc>
          <w:tcPr>
            <w:tcW w:w="7419" w:type="dxa"/>
            <w:tcBorders>
              <w:top w:val="single" w:sz="4" w:space="0" w:color="000000"/>
              <w:left w:val="single" w:sz="4" w:space="0" w:color="000000"/>
              <w:bottom w:val="single" w:sz="4" w:space="0" w:color="000000"/>
              <w:right w:val="single" w:sz="4" w:space="0" w:color="000000"/>
            </w:tcBorders>
            <w:vAlign w:val="bottom"/>
          </w:tcPr>
          <w:p w14:paraId="11D7B495" w14:textId="77777777" w:rsidR="00D84F5E" w:rsidRDefault="00000000">
            <w:pPr>
              <w:numPr>
                <w:ilvl w:val="0"/>
                <w:numId w:val="2"/>
              </w:numPr>
              <w:ind w:hanging="224"/>
              <w:jc w:val="both"/>
            </w:pPr>
            <w:r>
              <w:rPr>
                <w:sz w:val="24"/>
              </w:rPr>
              <w:t xml:space="preserve">wyposażona w minimum 1 wnękę umożliwiającą montaż dysku 3,5” lub 2 dysków 2,5”  </w:t>
            </w:r>
          </w:p>
          <w:p w14:paraId="1B3776A0" w14:textId="77777777" w:rsidR="00D84F5E" w:rsidRDefault="00000000">
            <w:pPr>
              <w:numPr>
                <w:ilvl w:val="0"/>
                <w:numId w:val="2"/>
              </w:numPr>
              <w:ind w:hanging="224"/>
              <w:jc w:val="both"/>
            </w:pPr>
            <w:r>
              <w:rPr>
                <w:sz w:val="24"/>
              </w:rPr>
              <w:t xml:space="preserve">dla wszystkich kieszeni 3,5” adaptery na mocowanie dysków 2,5”  </w:t>
            </w:r>
          </w:p>
          <w:p w14:paraId="39CE85A0" w14:textId="77777777" w:rsidR="00D84F5E" w:rsidRDefault="00000000">
            <w:pPr>
              <w:numPr>
                <w:ilvl w:val="0"/>
                <w:numId w:val="2"/>
              </w:numPr>
              <w:spacing w:after="27" w:line="238" w:lineRule="auto"/>
              <w:ind w:hanging="224"/>
              <w:jc w:val="both"/>
            </w:pPr>
            <w:r>
              <w:rPr>
                <w:sz w:val="24"/>
              </w:rPr>
              <w:t xml:space="preserve">wyposażona w napęd optyczny z funkcją nagrywania DVD w kolorze obudowy umieszczony w dedykowanej wnęce.  </w:t>
            </w:r>
          </w:p>
          <w:p w14:paraId="42E926EA" w14:textId="77777777" w:rsidR="00D84F5E" w:rsidRDefault="00000000">
            <w:pPr>
              <w:numPr>
                <w:ilvl w:val="0"/>
                <w:numId w:val="2"/>
              </w:numPr>
              <w:ind w:hanging="224"/>
              <w:jc w:val="both"/>
            </w:pPr>
            <w:r>
              <w:rPr>
                <w:sz w:val="24"/>
              </w:rPr>
              <w:t xml:space="preserve">obudowa fabrycznie przystosowana do pracy w orientacji poziomej oraz pionowej.   </w:t>
            </w:r>
          </w:p>
          <w:p w14:paraId="0586A60B" w14:textId="77777777" w:rsidR="00D84F5E" w:rsidRDefault="00000000">
            <w:pPr>
              <w:numPr>
                <w:ilvl w:val="0"/>
                <w:numId w:val="2"/>
              </w:numPr>
              <w:spacing w:after="20"/>
              <w:ind w:hanging="224"/>
              <w:jc w:val="both"/>
            </w:pPr>
            <w:r>
              <w:rPr>
                <w:sz w:val="24"/>
              </w:rPr>
              <w:t xml:space="preserve">nie dopuszcza się, aby w bocznych ściankach obudowy były usytuowane otwory wentylacyjne. Cyrkulacja powietrza winna być tylko przez przedni oraz tylny panel z zachowaniem ruchu powietrza przód – tył.   </w:t>
            </w:r>
          </w:p>
          <w:p w14:paraId="199CAEF8" w14:textId="77777777" w:rsidR="00D84F5E" w:rsidRDefault="00000000">
            <w:pPr>
              <w:numPr>
                <w:ilvl w:val="0"/>
                <w:numId w:val="2"/>
              </w:numPr>
              <w:spacing w:after="27" w:line="238" w:lineRule="auto"/>
              <w:ind w:hanging="224"/>
              <w:jc w:val="both"/>
            </w:pPr>
            <w:r>
              <w:rPr>
                <w:sz w:val="24"/>
              </w:rPr>
              <w:t xml:space="preserve">obudowa musi posiadać na panelu przednim filtr powietrza chroniący wnętrze przed dodatkowym kurzem, pyłem np. Filtr musi być demontowany bez użycia narzędzi.   </w:t>
            </w:r>
          </w:p>
          <w:p w14:paraId="2AF111B3" w14:textId="77777777" w:rsidR="00D84F5E" w:rsidRDefault="00000000">
            <w:pPr>
              <w:numPr>
                <w:ilvl w:val="0"/>
                <w:numId w:val="2"/>
              </w:numPr>
              <w:spacing w:after="19"/>
              <w:ind w:hanging="224"/>
              <w:jc w:val="both"/>
            </w:pPr>
            <w:r>
              <w:rPr>
                <w:sz w:val="24"/>
              </w:rPr>
              <w:t xml:space="preserve">obudowa musi być wyposażona w dystanse gumowe zapobiegające poślizgom obudowy i zarysowaniu lakieru obudowy.   </w:t>
            </w:r>
          </w:p>
          <w:p w14:paraId="7D40BCF1" w14:textId="77777777" w:rsidR="00D84F5E" w:rsidRDefault="00000000">
            <w:pPr>
              <w:numPr>
                <w:ilvl w:val="0"/>
                <w:numId w:val="2"/>
              </w:numPr>
              <w:spacing w:after="22" w:line="239" w:lineRule="auto"/>
              <w:ind w:hanging="224"/>
              <w:jc w:val="both"/>
            </w:pPr>
            <w:r>
              <w:rPr>
                <w:sz w:val="24"/>
              </w:rPr>
              <w:t xml:space="preserve">Rozwiązanie zastosowane w konstrukcji obudowy powinno pozwalać na demontaż kart rozszerzeń w tym napędu optycznego, dysków 3,5” oraz 2,5”, bez konieczności użycia narzędzi (wyklucza się użycia wszelkiego rodzaju wkrętów, śrub motylkowych, śrub radełkowych np. ).   </w:t>
            </w:r>
          </w:p>
          <w:p w14:paraId="379D5D3E" w14:textId="77777777" w:rsidR="00D84F5E" w:rsidRDefault="00000000">
            <w:pPr>
              <w:spacing w:after="22"/>
              <w:ind w:left="286" w:right="19"/>
              <w:jc w:val="both"/>
            </w:pPr>
            <w:r>
              <w:rPr>
                <w:sz w:val="24"/>
              </w:rPr>
              <w:t xml:space="preserve">Musi posiadać wbudowany wizualny system diagnostyczny, służący do sygnalizowania i diagnozowania problemów z komputerem i jego komponentami w szczególności musi sygnalizować: uszkodzenie lub brak pamięci RAM, uszkodzenie płyty głównej (w tym również portów I/O, chipset), awarię baterii, awarię BIOS’u, awarię procesora oraz nie może być uzyskany przez konwertowanie, przerabianie innych złączy na płycie głównej nie wymienionych w specyfikacji a które nie są dedykowane dla systemu diagnostycznego, </w:t>
            </w:r>
          </w:p>
          <w:p w14:paraId="2B0ED862" w14:textId="77777777" w:rsidR="00D84F5E" w:rsidRDefault="00000000">
            <w:pPr>
              <w:numPr>
                <w:ilvl w:val="0"/>
                <w:numId w:val="2"/>
              </w:numPr>
              <w:ind w:hanging="224"/>
              <w:jc w:val="both"/>
            </w:pPr>
            <w:r>
              <w:rPr>
                <w:sz w:val="24"/>
              </w:rPr>
              <w:t xml:space="preserve">musi posiadać naniesiony niepowtarzalny numer seryjny zgodny z numeracją producenta  </w:t>
            </w:r>
          </w:p>
          <w:p w14:paraId="738FFEAA" w14:textId="77777777" w:rsidR="00D84F5E" w:rsidRDefault="00000000">
            <w:pPr>
              <w:numPr>
                <w:ilvl w:val="0"/>
                <w:numId w:val="2"/>
              </w:numPr>
              <w:ind w:hanging="224"/>
              <w:jc w:val="both"/>
            </w:pPr>
            <w:r>
              <w:rPr>
                <w:sz w:val="24"/>
              </w:rPr>
              <w:t xml:space="preserve">wyposażona w zasilacz posiadający certyfikat „80 Plus” o mocy min. 200W pracujący w sieci 230V 50Hz prądu zmiennego i efektywności min. 85% </w:t>
            </w:r>
            <w:r>
              <w:rPr>
                <w:sz w:val="24"/>
              </w:rPr>
              <w:lastRenderedPageBreak/>
              <w:t xml:space="preserve">przy obciążeniu zasilacza na poziomie 50% oraz o efektywności min. 82% przy obciążeniu zasilacza na poziomie 100%. </w:t>
            </w:r>
          </w:p>
        </w:tc>
      </w:tr>
      <w:tr w:rsidR="00D84F5E" w14:paraId="4155552C" w14:textId="77777777" w:rsidTr="00FB4A72">
        <w:tblPrEx>
          <w:tblCellMar>
            <w:left w:w="0" w:type="dxa"/>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3B17CDB8" w14:textId="77777777" w:rsidR="00D84F5E" w:rsidRDefault="00000000">
            <w:pPr>
              <w:ind w:left="72"/>
            </w:pPr>
            <w:r>
              <w:rPr>
                <w:sz w:val="24"/>
              </w:rPr>
              <w:lastRenderedPageBreak/>
              <w:t xml:space="preserve">9.  </w:t>
            </w:r>
          </w:p>
        </w:tc>
        <w:tc>
          <w:tcPr>
            <w:tcW w:w="1702" w:type="dxa"/>
            <w:gridSpan w:val="2"/>
            <w:tcBorders>
              <w:top w:val="single" w:sz="4" w:space="0" w:color="000000"/>
              <w:left w:val="single" w:sz="4" w:space="0" w:color="000000"/>
              <w:bottom w:val="single" w:sz="4" w:space="0" w:color="000000"/>
              <w:right w:val="single" w:sz="4" w:space="0" w:color="000000"/>
            </w:tcBorders>
            <w:vAlign w:val="bottom"/>
          </w:tcPr>
          <w:p w14:paraId="1B3BD341" w14:textId="77777777" w:rsidR="00D84F5E" w:rsidRDefault="00000000">
            <w:pPr>
              <w:ind w:left="72" w:hanging="10"/>
            </w:pPr>
            <w:r>
              <w:rPr>
                <w:sz w:val="24"/>
              </w:rPr>
              <w:t xml:space="preserve">Zgodność z  systemami operacyjnymi i standardami  </w:t>
            </w:r>
          </w:p>
        </w:tc>
        <w:tc>
          <w:tcPr>
            <w:tcW w:w="7419" w:type="dxa"/>
            <w:tcBorders>
              <w:top w:val="single" w:sz="4" w:space="0" w:color="000000"/>
              <w:left w:val="single" w:sz="4" w:space="0" w:color="000000"/>
              <w:bottom w:val="single" w:sz="4" w:space="0" w:color="000000"/>
              <w:right w:val="single" w:sz="4" w:space="0" w:color="000000"/>
            </w:tcBorders>
            <w:vAlign w:val="bottom"/>
          </w:tcPr>
          <w:p w14:paraId="61241C0F" w14:textId="77777777" w:rsidR="00D84F5E" w:rsidRDefault="00000000">
            <w:pPr>
              <w:ind w:left="72" w:right="79"/>
              <w:jc w:val="both"/>
            </w:pPr>
            <w:r>
              <w:rPr>
                <w:sz w:val="24"/>
              </w:rPr>
              <w:t>Oferowane modele komputerów muszą posiadać certyfikat producenta oferowanego systemu operacyjnego, potwierdzający poprawną współpracę oferowanych modeli komputerów z oferowanym systemem operacyjnym</w:t>
            </w:r>
            <w:r>
              <w:rPr>
                <w:b/>
                <w:color w:val="00B050"/>
                <w:sz w:val="24"/>
              </w:rPr>
              <w:t xml:space="preserve"> </w:t>
            </w:r>
            <w:r>
              <w:rPr>
                <w:sz w:val="24"/>
              </w:rPr>
              <w:t xml:space="preserve"> </w:t>
            </w:r>
          </w:p>
        </w:tc>
      </w:tr>
      <w:tr w:rsidR="00D84F5E" w14:paraId="01451756" w14:textId="77777777" w:rsidTr="00FB4A72">
        <w:tblPrEx>
          <w:tblCellMar>
            <w:left w:w="0" w:type="dxa"/>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01B15E24" w14:textId="77777777" w:rsidR="00D84F5E" w:rsidRDefault="00000000">
            <w:pPr>
              <w:ind w:left="72"/>
            </w:pPr>
            <w:r>
              <w:rPr>
                <w:sz w:val="24"/>
              </w:rPr>
              <w:t xml:space="preserve">10.  </w:t>
            </w:r>
          </w:p>
        </w:tc>
        <w:tc>
          <w:tcPr>
            <w:tcW w:w="1702" w:type="dxa"/>
            <w:gridSpan w:val="2"/>
            <w:tcBorders>
              <w:top w:val="single" w:sz="4" w:space="0" w:color="000000"/>
              <w:left w:val="single" w:sz="4" w:space="0" w:color="000000"/>
              <w:bottom w:val="single" w:sz="4" w:space="0" w:color="000000"/>
              <w:right w:val="single" w:sz="4" w:space="0" w:color="000000"/>
            </w:tcBorders>
          </w:tcPr>
          <w:p w14:paraId="0C7546CD" w14:textId="77777777" w:rsidR="00D84F5E" w:rsidRDefault="00000000">
            <w:pPr>
              <w:ind w:left="72"/>
              <w:jc w:val="both"/>
            </w:pPr>
            <w:r>
              <w:rPr>
                <w:sz w:val="24"/>
              </w:rPr>
              <w:t xml:space="preserve">Bezpieczeństwo </w:t>
            </w:r>
          </w:p>
        </w:tc>
        <w:tc>
          <w:tcPr>
            <w:tcW w:w="7419" w:type="dxa"/>
            <w:tcBorders>
              <w:top w:val="single" w:sz="4" w:space="0" w:color="000000"/>
              <w:left w:val="single" w:sz="4" w:space="0" w:color="000000"/>
              <w:bottom w:val="single" w:sz="4" w:space="0" w:color="000000"/>
              <w:right w:val="single" w:sz="4" w:space="0" w:color="000000"/>
            </w:tcBorders>
            <w:vAlign w:val="bottom"/>
          </w:tcPr>
          <w:p w14:paraId="0A29D10A" w14:textId="6D9DAC19" w:rsidR="00D84F5E" w:rsidRDefault="00000000">
            <w:pPr>
              <w:ind w:left="72" w:right="72" w:hanging="89"/>
              <w:jc w:val="both"/>
            </w:pPr>
            <w:r>
              <w:rPr>
                <w:sz w:val="24"/>
              </w:rPr>
              <w:t xml:space="preserve"> 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Wbudowany system diagnostyczny umożliwiający przetestowanie komponentów komputera w zakresie m.in.: procesor, płyta główna, pamięć RAM, dysk twardy. Taki system musi działać </w:t>
            </w:r>
            <w:r w:rsidR="00FB4A72">
              <w:rPr>
                <w:sz w:val="24"/>
              </w:rPr>
              <w:t>niezależnie od obecności dysku twardego, dostępu do sieci i Internetu oraz bez konieczności stosowania urządzeń zewnętrznych..</w:t>
            </w:r>
          </w:p>
        </w:tc>
      </w:tr>
      <w:tr w:rsidR="00D84F5E" w14:paraId="4E8784E5" w14:textId="77777777" w:rsidTr="00FB4A72">
        <w:tblPrEx>
          <w:tblCellMar>
            <w:top w:w="108" w:type="dxa"/>
            <w:left w:w="72" w:type="dxa"/>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6F032209" w14:textId="77777777" w:rsidR="00D84F5E" w:rsidRDefault="00000000">
            <w:r>
              <w:rPr>
                <w:sz w:val="24"/>
              </w:rPr>
              <w:t xml:space="preserve">11 </w:t>
            </w:r>
          </w:p>
        </w:tc>
        <w:tc>
          <w:tcPr>
            <w:tcW w:w="1702" w:type="dxa"/>
            <w:gridSpan w:val="2"/>
            <w:tcBorders>
              <w:top w:val="single" w:sz="4" w:space="0" w:color="000000"/>
              <w:left w:val="single" w:sz="4" w:space="0" w:color="000000"/>
              <w:bottom w:val="single" w:sz="4" w:space="0" w:color="000000"/>
              <w:right w:val="single" w:sz="4" w:space="0" w:color="000000"/>
            </w:tcBorders>
          </w:tcPr>
          <w:p w14:paraId="663DB425" w14:textId="77777777" w:rsidR="00D84F5E" w:rsidRDefault="00000000">
            <w:r>
              <w:rPr>
                <w:sz w:val="24"/>
              </w:rPr>
              <w:t xml:space="preserve">Wirtualizacja </w:t>
            </w:r>
          </w:p>
        </w:tc>
        <w:tc>
          <w:tcPr>
            <w:tcW w:w="7419" w:type="dxa"/>
            <w:tcBorders>
              <w:top w:val="single" w:sz="4" w:space="0" w:color="000000"/>
              <w:left w:val="single" w:sz="4" w:space="0" w:color="000000"/>
              <w:bottom w:val="single" w:sz="4" w:space="0" w:color="000000"/>
              <w:right w:val="single" w:sz="4" w:space="0" w:color="000000"/>
            </w:tcBorders>
            <w:vAlign w:val="bottom"/>
          </w:tcPr>
          <w:p w14:paraId="6834D976" w14:textId="77777777" w:rsidR="00D84F5E" w:rsidRDefault="00000000">
            <w:pPr>
              <w:ind w:right="76"/>
              <w:jc w:val="both"/>
            </w:pPr>
            <w:r>
              <w:rPr>
                <w:sz w:val="24"/>
              </w:rPr>
              <w:t xml:space="preserve">Sprzętowe wsparcie technologii wirtualizacji realizowane łącznie w procesorze, chipsecie płyty głównej oraz w  BIOS systemu (możliwość włączenia/wyłączenia sprzętowego wsparcia wirtualizacji dla poszczególnych komponentów systemu). </w:t>
            </w:r>
          </w:p>
        </w:tc>
      </w:tr>
      <w:tr w:rsidR="00D84F5E" w14:paraId="740DC41A" w14:textId="77777777" w:rsidTr="00FB4A72">
        <w:tblPrEx>
          <w:tblCellMar>
            <w:top w:w="108" w:type="dxa"/>
            <w:left w:w="72" w:type="dxa"/>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400216CA" w14:textId="77777777" w:rsidR="00D84F5E" w:rsidRDefault="00000000">
            <w:r>
              <w:rPr>
                <w:sz w:val="24"/>
              </w:rPr>
              <w:t xml:space="preserve">12.  </w:t>
            </w:r>
          </w:p>
        </w:tc>
        <w:tc>
          <w:tcPr>
            <w:tcW w:w="1702" w:type="dxa"/>
            <w:gridSpan w:val="2"/>
            <w:tcBorders>
              <w:top w:val="single" w:sz="4" w:space="0" w:color="000000"/>
              <w:left w:val="single" w:sz="4" w:space="0" w:color="000000"/>
              <w:bottom w:val="single" w:sz="4" w:space="0" w:color="000000"/>
              <w:right w:val="single" w:sz="4" w:space="0" w:color="000000"/>
            </w:tcBorders>
          </w:tcPr>
          <w:p w14:paraId="2B3115CE" w14:textId="77777777" w:rsidR="00D84F5E" w:rsidRDefault="00000000">
            <w:r>
              <w:rPr>
                <w:sz w:val="24"/>
              </w:rPr>
              <w:t xml:space="preserve">System operacyjny  </w:t>
            </w:r>
          </w:p>
        </w:tc>
        <w:tc>
          <w:tcPr>
            <w:tcW w:w="7419" w:type="dxa"/>
            <w:tcBorders>
              <w:top w:val="single" w:sz="4" w:space="0" w:color="000000"/>
              <w:left w:val="single" w:sz="4" w:space="0" w:color="000000"/>
              <w:bottom w:val="single" w:sz="4" w:space="0" w:color="000000"/>
              <w:right w:val="single" w:sz="4" w:space="0" w:color="000000"/>
            </w:tcBorders>
            <w:vAlign w:val="bottom"/>
          </w:tcPr>
          <w:p w14:paraId="151E522F" w14:textId="598E2C73" w:rsidR="00D84F5E" w:rsidRDefault="00000000">
            <w:pPr>
              <w:ind w:right="76"/>
              <w:jc w:val="both"/>
            </w:pPr>
            <w:r>
              <w:rPr>
                <w:sz w:val="24"/>
              </w:rPr>
              <w:t>Microsoft Windows 10</w:t>
            </w:r>
            <w:r w:rsidR="00BC608D">
              <w:rPr>
                <w:sz w:val="24"/>
              </w:rPr>
              <w:t xml:space="preserve"> lub 11</w:t>
            </w:r>
            <w:r>
              <w:rPr>
                <w:sz w:val="24"/>
              </w:rPr>
              <w:t xml:space="preserve"> Pro w wersji 64bit w języku polskim w celu zapewnienia współpracy z istniejącym  środowiskiem sieciowym oraz aplikacjami Zamawiającego , lub równoważny.  </w:t>
            </w:r>
          </w:p>
          <w:p w14:paraId="4743A074" w14:textId="7D4B89E9" w:rsidR="00D84F5E" w:rsidRDefault="00000000">
            <w:r>
              <w:rPr>
                <w:sz w:val="24"/>
              </w:rPr>
              <w:t>Klucz licencyjny Windows 10</w:t>
            </w:r>
            <w:r w:rsidR="00BC608D">
              <w:rPr>
                <w:sz w:val="24"/>
              </w:rPr>
              <w:t xml:space="preserve"> lub 11</w:t>
            </w:r>
            <w:r>
              <w:rPr>
                <w:sz w:val="24"/>
              </w:rPr>
              <w:t xml:space="preserve"> Professional musi być zapisany trwale w BIOS i umożliwiać instalację systemu operacyjnego na podstawie nośnika lub zdalnie bez potrzeby ręcznego wpisywania klucza licencyjnego.  </w:t>
            </w:r>
          </w:p>
          <w:p w14:paraId="086F51A5" w14:textId="77777777" w:rsidR="00D84F5E" w:rsidRDefault="00000000">
            <w:r>
              <w:rPr>
                <w:b/>
                <w:sz w:val="24"/>
                <w:u w:val="single" w:color="000000"/>
              </w:rPr>
              <w:t>Warunki równoważności.</w:t>
            </w:r>
            <w:r>
              <w:rPr>
                <w:b/>
                <w:sz w:val="24"/>
              </w:rPr>
              <w:t xml:space="preserve"> </w:t>
            </w:r>
            <w:r>
              <w:rPr>
                <w:sz w:val="24"/>
              </w:rPr>
              <w:t xml:space="preserve"> </w:t>
            </w:r>
          </w:p>
          <w:p w14:paraId="319BCFB4" w14:textId="77777777" w:rsidR="00D84F5E" w:rsidRDefault="00000000">
            <w:pPr>
              <w:spacing w:after="2"/>
              <w:ind w:right="71"/>
              <w:jc w:val="both"/>
            </w:pPr>
            <w:r>
              <w:rPr>
                <w:sz w:val="24"/>
              </w:rPr>
              <w:t xml:space="preserve">System operacyjny 64-bit, dołączony nośnik z oprogramowaniem instalacyjnym. Za rozwiązanie równoważne uznaje się takie, które posiada wbudowane mechanizmy i funkcjonalności (bez użycia dodatkowych aplikacji, bez jakichkolwiek emulatorów, implementacji lub programów towarzyszących), zapewniające:  </w:t>
            </w:r>
          </w:p>
          <w:p w14:paraId="417BFF09" w14:textId="77777777" w:rsidR="00D84F5E" w:rsidRDefault="00000000">
            <w:pPr>
              <w:numPr>
                <w:ilvl w:val="0"/>
                <w:numId w:val="3"/>
              </w:numPr>
              <w:ind w:right="24"/>
              <w:jc w:val="both"/>
            </w:pPr>
            <w:r>
              <w:rPr>
                <w:sz w:val="24"/>
              </w:rPr>
              <w:t xml:space="preserve">polską wersję językową,  </w:t>
            </w:r>
          </w:p>
          <w:p w14:paraId="4CF3E385" w14:textId="77777777" w:rsidR="00D84F5E" w:rsidRDefault="00000000">
            <w:pPr>
              <w:numPr>
                <w:ilvl w:val="0"/>
                <w:numId w:val="3"/>
              </w:numPr>
              <w:spacing w:after="3" w:line="238" w:lineRule="auto"/>
              <w:ind w:right="24"/>
              <w:jc w:val="both"/>
            </w:pPr>
            <w:r>
              <w:rPr>
                <w:sz w:val="24"/>
              </w:rPr>
              <w:t xml:space="preserve">możliwość instalacji i poprawnego działania oprogramowania dostępnego w ramach posiadanych przez Microsoft Office 2016, Microsoft Office 2019 oraz Office 365 oraz możliwość pełnej integracji z systemem domenowym MS Windows,  </w:t>
            </w:r>
          </w:p>
          <w:p w14:paraId="436C4AB2" w14:textId="77777777" w:rsidR="00D84F5E" w:rsidRDefault="00000000">
            <w:pPr>
              <w:numPr>
                <w:ilvl w:val="0"/>
                <w:numId w:val="3"/>
              </w:numPr>
              <w:ind w:right="24"/>
              <w:jc w:val="both"/>
            </w:pPr>
            <w:r>
              <w:rPr>
                <w:sz w:val="24"/>
              </w:rPr>
              <w:t xml:space="preserve">możliwość instalacji i poprawnego działania aplikacji dedykowanych dla systemu Windows wykorzystywanych przez Zamawiającego, oraz poprawnej obsługi powszechnie używanych, urządzeń peryferyjnych (drukarek, skanerów, kser),  </w:t>
            </w:r>
          </w:p>
          <w:p w14:paraId="2C7A5F4A" w14:textId="77777777" w:rsidR="00D84F5E" w:rsidRDefault="00000000">
            <w:pPr>
              <w:numPr>
                <w:ilvl w:val="0"/>
                <w:numId w:val="3"/>
              </w:numPr>
              <w:spacing w:after="3" w:line="238" w:lineRule="auto"/>
              <w:ind w:right="24"/>
              <w:jc w:val="both"/>
            </w:pPr>
            <w:r>
              <w:rPr>
                <w:sz w:val="24"/>
              </w:rPr>
              <w:t xml:space="preserve">dostępność aktualizacji i poprawek do systemu u producenta systemu bezpłatnie i bez dodatkowych opłat licencyjnych z możliwością wyboru instalowanych poprawek,  </w:t>
            </w:r>
          </w:p>
          <w:p w14:paraId="51FE8DB6" w14:textId="77777777" w:rsidR="00BC608D" w:rsidRPr="00BC608D" w:rsidRDefault="00000000">
            <w:pPr>
              <w:numPr>
                <w:ilvl w:val="0"/>
                <w:numId w:val="3"/>
              </w:numPr>
              <w:spacing w:line="241" w:lineRule="auto"/>
              <w:ind w:right="24"/>
              <w:jc w:val="both"/>
            </w:pPr>
            <w:r>
              <w:rPr>
                <w:sz w:val="24"/>
              </w:rPr>
              <w:lastRenderedPageBreak/>
              <w:t xml:space="preserve">możliwość zdalnej, automatycznej instalacji, konfiguracji, administrowania oraz aktualizowania systemu,  </w:t>
            </w:r>
          </w:p>
          <w:p w14:paraId="6DA65E71" w14:textId="7DAA541F" w:rsidR="00D84F5E" w:rsidRDefault="00000000">
            <w:pPr>
              <w:numPr>
                <w:ilvl w:val="0"/>
                <w:numId w:val="3"/>
              </w:numPr>
              <w:spacing w:line="241" w:lineRule="auto"/>
              <w:ind w:right="24"/>
              <w:jc w:val="both"/>
            </w:pPr>
            <w:r>
              <w:rPr>
                <w:sz w:val="24"/>
              </w:rPr>
              <w:t xml:space="preserve">graficzne środowisko instalacji i konfiguracji,  </w:t>
            </w:r>
          </w:p>
          <w:p w14:paraId="2281F69C" w14:textId="77777777" w:rsidR="00D84F5E" w:rsidRDefault="00000000">
            <w:pPr>
              <w:numPr>
                <w:ilvl w:val="0"/>
                <w:numId w:val="4"/>
              </w:numPr>
            </w:pPr>
            <w:r>
              <w:rPr>
                <w:sz w:val="24"/>
              </w:rPr>
              <w:t xml:space="preserve">możliwość udostępniania i przejmowania pulpitu zdalnego,  </w:t>
            </w:r>
          </w:p>
          <w:p w14:paraId="6EDE8554" w14:textId="77777777" w:rsidR="00D84F5E" w:rsidRDefault="00000000">
            <w:pPr>
              <w:numPr>
                <w:ilvl w:val="0"/>
                <w:numId w:val="4"/>
              </w:numPr>
            </w:pPr>
            <w:r>
              <w:rPr>
                <w:sz w:val="24"/>
              </w:rPr>
              <w:t xml:space="preserve">możliwość udostępniania plików i drukarek,  </w:t>
            </w:r>
          </w:p>
          <w:p w14:paraId="69ADCC5E" w14:textId="77777777" w:rsidR="00D84F5E" w:rsidRDefault="00000000">
            <w:pPr>
              <w:numPr>
                <w:ilvl w:val="0"/>
                <w:numId w:val="4"/>
              </w:numPr>
              <w:spacing w:after="1"/>
            </w:pPr>
            <w:r>
              <w:rPr>
                <w:sz w:val="24"/>
              </w:rPr>
              <w:t xml:space="preserve">możliwość blokowania lub dopuszczenia dowolnych urządzeń peryferyjnych za pomocą polityk sprzętowych (np. przy użyciu numerów identyfikacyjnych sprzętu),  </w:t>
            </w:r>
          </w:p>
          <w:p w14:paraId="4B861EDE" w14:textId="77777777" w:rsidR="00D84F5E" w:rsidRDefault="00000000">
            <w:pPr>
              <w:numPr>
                <w:ilvl w:val="0"/>
                <w:numId w:val="4"/>
              </w:numPr>
              <w:spacing w:line="242" w:lineRule="auto"/>
            </w:pPr>
            <w:r>
              <w:rPr>
                <w:sz w:val="24"/>
              </w:rPr>
              <w:t xml:space="preserve">wyposażenie systemu w graficzny interfejs użytkownika w języku polskim,  </w:t>
            </w:r>
          </w:p>
          <w:p w14:paraId="735B19FD" w14:textId="77777777" w:rsidR="00D84F5E" w:rsidRDefault="00000000">
            <w:pPr>
              <w:numPr>
                <w:ilvl w:val="0"/>
                <w:numId w:val="4"/>
              </w:numPr>
            </w:pPr>
            <w:r>
              <w:rPr>
                <w:sz w:val="24"/>
              </w:rPr>
              <w:t xml:space="preserve">zapewnienie pełnej kompatybilności z oferowanym sprzętem,  </w:t>
            </w:r>
          </w:p>
          <w:p w14:paraId="0900FBF8" w14:textId="77777777" w:rsidR="00D84F5E" w:rsidRDefault="00000000">
            <w:pPr>
              <w:numPr>
                <w:ilvl w:val="0"/>
                <w:numId w:val="4"/>
              </w:numPr>
              <w:spacing w:after="1"/>
            </w:pPr>
            <w:r>
              <w:rPr>
                <w:sz w:val="24"/>
              </w:rPr>
              <w:t xml:space="preserve">zintegrowanie z systemem modułu pomocy dla użytkownika w języku polskim,  </w:t>
            </w:r>
          </w:p>
          <w:p w14:paraId="05CF12B8" w14:textId="77777777" w:rsidR="00D84F5E" w:rsidRDefault="00000000">
            <w:pPr>
              <w:numPr>
                <w:ilvl w:val="0"/>
                <w:numId w:val="4"/>
              </w:numPr>
            </w:pPr>
            <w:r>
              <w:rPr>
                <w:sz w:val="24"/>
              </w:rPr>
              <w:t xml:space="preserve">zintegrowanie z systemem modułu wyszukiwania informacji,  </w:t>
            </w:r>
          </w:p>
        </w:tc>
      </w:tr>
      <w:tr w:rsidR="00D84F5E" w14:paraId="067CBE0A" w14:textId="77777777" w:rsidTr="00FB4A72">
        <w:tblPrEx>
          <w:tblCellMar>
            <w:top w:w="108" w:type="dxa"/>
            <w:left w:w="72" w:type="dxa"/>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77D23B27" w14:textId="77777777" w:rsidR="00D84F5E" w:rsidRDefault="00D84F5E"/>
        </w:tc>
        <w:tc>
          <w:tcPr>
            <w:tcW w:w="1702" w:type="dxa"/>
            <w:gridSpan w:val="2"/>
            <w:tcBorders>
              <w:top w:val="single" w:sz="4" w:space="0" w:color="000000"/>
              <w:left w:val="single" w:sz="4" w:space="0" w:color="000000"/>
              <w:bottom w:val="single" w:sz="4" w:space="0" w:color="000000"/>
              <w:right w:val="single" w:sz="4" w:space="0" w:color="000000"/>
            </w:tcBorders>
          </w:tcPr>
          <w:p w14:paraId="57342C05" w14:textId="77777777" w:rsidR="00D84F5E" w:rsidRDefault="00D84F5E"/>
        </w:tc>
        <w:tc>
          <w:tcPr>
            <w:tcW w:w="7419" w:type="dxa"/>
            <w:tcBorders>
              <w:top w:val="single" w:sz="4" w:space="0" w:color="000000"/>
              <w:left w:val="single" w:sz="4" w:space="0" w:color="000000"/>
              <w:bottom w:val="single" w:sz="4" w:space="0" w:color="000000"/>
              <w:right w:val="single" w:sz="4" w:space="0" w:color="000000"/>
            </w:tcBorders>
            <w:vAlign w:val="bottom"/>
          </w:tcPr>
          <w:p w14:paraId="0789A88B" w14:textId="77777777" w:rsidR="00D84F5E" w:rsidRDefault="00000000">
            <w:pPr>
              <w:numPr>
                <w:ilvl w:val="0"/>
                <w:numId w:val="5"/>
              </w:numPr>
              <w:spacing w:after="1"/>
              <w:ind w:right="23"/>
              <w:jc w:val="both"/>
            </w:pPr>
            <w:r>
              <w:rPr>
                <w:sz w:val="24"/>
              </w:rPr>
              <w:t xml:space="preserve">możliwość wykonywania kopii bezpieczeństwa (całego dysku, wybranych folderów, kopii przyrostowych) wraz z możliwością automatycznego odzyskania wersji wcześniejszej,  </w:t>
            </w:r>
          </w:p>
          <w:p w14:paraId="47137F1D" w14:textId="77777777" w:rsidR="00D84F5E" w:rsidRDefault="00000000">
            <w:pPr>
              <w:numPr>
                <w:ilvl w:val="0"/>
                <w:numId w:val="5"/>
              </w:numPr>
              <w:ind w:right="23"/>
              <w:jc w:val="both"/>
            </w:pPr>
            <w:r>
              <w:rPr>
                <w:sz w:val="24"/>
              </w:rPr>
              <w:t xml:space="preserve">zabezpieczony hasłem hierarchiczny dostęp do systemu, konta i profile użytkowników zarządzane zdalnie; praca systemu w trybie ochrony kont użytkowników,  </w:t>
            </w:r>
          </w:p>
          <w:p w14:paraId="5200523A" w14:textId="77777777" w:rsidR="00D84F5E" w:rsidRDefault="00000000">
            <w:pPr>
              <w:numPr>
                <w:ilvl w:val="0"/>
                <w:numId w:val="5"/>
              </w:numPr>
              <w:spacing w:after="3" w:line="238" w:lineRule="auto"/>
              <w:ind w:right="23"/>
              <w:jc w:val="both"/>
            </w:pPr>
            <w:r>
              <w:rPr>
                <w:sz w:val="24"/>
              </w:rPr>
              <w:t xml:space="preserve">zintegrowane z systemem operacyjnym narzędzia zwalczające złośliwe oprogramowanie; aktualizacja dostępna u producenta nieodpłatnie bez ograniczeń czasowych,  </w:t>
            </w:r>
          </w:p>
          <w:p w14:paraId="715F5AFA" w14:textId="77777777" w:rsidR="00D84F5E" w:rsidRDefault="00000000">
            <w:pPr>
              <w:numPr>
                <w:ilvl w:val="0"/>
                <w:numId w:val="5"/>
              </w:numPr>
              <w:spacing w:after="1"/>
              <w:ind w:right="23"/>
              <w:jc w:val="both"/>
            </w:pPr>
            <w:r>
              <w:rPr>
                <w:sz w:val="24"/>
              </w:rPr>
              <w:t xml:space="preserve">licencja na system operacyjny musi być nieograniczona w czasie, pozwalać na wielokrotne instalowanie systemu na oferowanym sprzęcie bez konieczności kontaktowania się przez Zamawiającego z producentem systemu lub sprzętu,  </w:t>
            </w:r>
          </w:p>
          <w:p w14:paraId="244FDCCB" w14:textId="77777777" w:rsidR="00BC608D" w:rsidRPr="00BC608D" w:rsidRDefault="00000000">
            <w:pPr>
              <w:numPr>
                <w:ilvl w:val="0"/>
                <w:numId w:val="5"/>
              </w:numPr>
              <w:ind w:right="23"/>
              <w:jc w:val="both"/>
            </w:pPr>
            <w:r>
              <w:rPr>
                <w:sz w:val="24"/>
              </w:rPr>
              <w:t xml:space="preserve">oprogramowanie powinno posiadać certyfikat autentyczności lub unikalny kod aktywacyjny umożliwiający potwierdzenie autentyczności,  </w:t>
            </w:r>
          </w:p>
          <w:p w14:paraId="723215D7" w14:textId="0FADFC16" w:rsidR="00D84F5E" w:rsidRDefault="00000000">
            <w:pPr>
              <w:numPr>
                <w:ilvl w:val="0"/>
                <w:numId w:val="5"/>
              </w:numPr>
              <w:ind w:right="23"/>
              <w:jc w:val="both"/>
            </w:pPr>
            <w:r>
              <w:rPr>
                <w:rFonts w:ascii="Arial" w:eastAsia="Arial" w:hAnsi="Arial" w:cs="Arial"/>
                <w:sz w:val="20"/>
              </w:rPr>
              <w:t xml:space="preserve"> </w:t>
            </w:r>
            <w:r>
              <w:rPr>
                <w:sz w:val="24"/>
              </w:rPr>
              <w:t xml:space="preserve">zamawiający nie dopuszcza w systemie możliwości instalacji dodatkowych narzędzi emulujących działanie systemów.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  </w:t>
            </w:r>
          </w:p>
        </w:tc>
      </w:tr>
      <w:tr w:rsidR="00D84F5E" w14:paraId="14B1665C" w14:textId="77777777" w:rsidTr="00FB4A72">
        <w:tblPrEx>
          <w:tblCellMar>
            <w:top w:w="108" w:type="dxa"/>
            <w:left w:w="72" w:type="dxa"/>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7A932C84" w14:textId="77777777" w:rsidR="00D84F5E" w:rsidRDefault="00000000">
            <w:r>
              <w:rPr>
                <w:sz w:val="24"/>
              </w:rPr>
              <w:t xml:space="preserve">13.  </w:t>
            </w:r>
          </w:p>
        </w:tc>
        <w:tc>
          <w:tcPr>
            <w:tcW w:w="1702" w:type="dxa"/>
            <w:gridSpan w:val="2"/>
            <w:tcBorders>
              <w:top w:val="single" w:sz="4" w:space="0" w:color="000000"/>
              <w:left w:val="single" w:sz="4" w:space="0" w:color="000000"/>
              <w:bottom w:val="single" w:sz="4" w:space="0" w:color="000000"/>
              <w:right w:val="single" w:sz="4" w:space="0" w:color="000000"/>
            </w:tcBorders>
          </w:tcPr>
          <w:p w14:paraId="7B1FCE91" w14:textId="77777777" w:rsidR="00D84F5E" w:rsidRDefault="00000000">
            <w:r>
              <w:rPr>
                <w:sz w:val="24"/>
              </w:rPr>
              <w:t xml:space="preserve">BIOS  </w:t>
            </w:r>
          </w:p>
        </w:tc>
        <w:tc>
          <w:tcPr>
            <w:tcW w:w="7419" w:type="dxa"/>
            <w:tcBorders>
              <w:top w:val="single" w:sz="4" w:space="0" w:color="000000"/>
              <w:left w:val="single" w:sz="4" w:space="0" w:color="000000"/>
              <w:bottom w:val="single" w:sz="4" w:space="0" w:color="000000"/>
              <w:right w:val="single" w:sz="4" w:space="0" w:color="000000"/>
            </w:tcBorders>
            <w:vAlign w:val="bottom"/>
          </w:tcPr>
          <w:p w14:paraId="0E449261" w14:textId="77777777" w:rsidR="00D84F5E" w:rsidRDefault="00000000">
            <w:r>
              <w:rPr>
                <w:sz w:val="24"/>
              </w:rPr>
              <w:t xml:space="preserve">BIOS zgodny ze specyfikacją UEFI  </w:t>
            </w:r>
          </w:p>
          <w:p w14:paraId="77B056E5" w14:textId="77777777" w:rsidR="00D84F5E" w:rsidRDefault="00000000">
            <w:r>
              <w:rPr>
                <w:sz w:val="24"/>
              </w:rPr>
              <w:t xml:space="preserve">Możliwość, bez uruchamiania systemu operacyjnego z dysku twardego komputera lub innych podłączonych do niego urządzeń zewnętrznych odczytania z BIOS informacji o:   </w:t>
            </w:r>
          </w:p>
          <w:p w14:paraId="43029038" w14:textId="77777777" w:rsidR="00D84F5E" w:rsidRDefault="00000000">
            <w:pPr>
              <w:ind w:left="193"/>
            </w:pPr>
            <w:r>
              <w:rPr>
                <w:sz w:val="24"/>
              </w:rPr>
              <w:t xml:space="preserve">− wersji BIOS,   </w:t>
            </w:r>
          </w:p>
          <w:p w14:paraId="54638617" w14:textId="77777777" w:rsidR="00D84F5E" w:rsidRDefault="00000000">
            <w:pPr>
              <w:ind w:left="193"/>
            </w:pPr>
            <w:r>
              <w:rPr>
                <w:sz w:val="24"/>
              </w:rPr>
              <w:t xml:space="preserve">− nr seryjnym komputera wraz z datą jego wyprodukowania,   </w:t>
            </w:r>
          </w:p>
          <w:p w14:paraId="091C00B8" w14:textId="77777777" w:rsidR="00D84F5E" w:rsidRDefault="00000000">
            <w:pPr>
              <w:ind w:left="193"/>
            </w:pPr>
            <w:r>
              <w:rPr>
                <w:sz w:val="24"/>
              </w:rPr>
              <w:t xml:space="preserve">− ilości i sposobu obłożenia slotów pamięciami RAM,   </w:t>
            </w:r>
          </w:p>
          <w:p w14:paraId="12543696" w14:textId="77777777" w:rsidR="00D84F5E" w:rsidRDefault="00000000">
            <w:pPr>
              <w:spacing w:line="242" w:lineRule="auto"/>
              <w:ind w:left="193"/>
            </w:pPr>
            <w:r>
              <w:rPr>
                <w:sz w:val="24"/>
              </w:rPr>
              <w:lastRenderedPageBreak/>
              <w:t xml:space="preserve">− typie procesora wraz z informacją o ilości rdzeni, wielkości pamięci cache,   </w:t>
            </w:r>
          </w:p>
          <w:p w14:paraId="43BEE49F" w14:textId="77777777" w:rsidR="00D84F5E" w:rsidRDefault="00000000">
            <w:pPr>
              <w:ind w:left="193"/>
            </w:pPr>
            <w:r>
              <w:rPr>
                <w:sz w:val="24"/>
              </w:rPr>
              <w:t xml:space="preserve">− pojemności zainstalowanego dysku twardego  </w:t>
            </w:r>
          </w:p>
          <w:p w14:paraId="0D557039" w14:textId="77777777" w:rsidR="00D84F5E" w:rsidRDefault="00000000">
            <w:pPr>
              <w:ind w:left="193"/>
            </w:pPr>
            <w:r>
              <w:rPr>
                <w:sz w:val="24"/>
              </w:rPr>
              <w:t xml:space="preserve">− rodzajach napędów optycznych  </w:t>
            </w:r>
          </w:p>
          <w:p w14:paraId="21BEE09F" w14:textId="77777777" w:rsidR="00D84F5E" w:rsidRDefault="00000000">
            <w:pPr>
              <w:ind w:left="193"/>
            </w:pPr>
            <w:r>
              <w:rPr>
                <w:sz w:val="24"/>
              </w:rPr>
              <w:t xml:space="preserve">− MAC adresie zintegrowanej karty sieciowej  </w:t>
            </w:r>
          </w:p>
          <w:p w14:paraId="32BC0A28" w14:textId="77777777" w:rsidR="00D84F5E" w:rsidRDefault="00000000">
            <w:pPr>
              <w:ind w:left="193"/>
            </w:pPr>
            <w:r>
              <w:rPr>
                <w:sz w:val="24"/>
              </w:rPr>
              <w:t xml:space="preserve">− kontrolerze audio  </w:t>
            </w:r>
          </w:p>
          <w:p w14:paraId="72DE6490" w14:textId="77777777" w:rsidR="00D84F5E" w:rsidRDefault="00000000">
            <w:pPr>
              <w:spacing w:after="2" w:line="238" w:lineRule="auto"/>
              <w:ind w:left="62" w:right="80"/>
              <w:jc w:val="both"/>
            </w:pPr>
            <w:r>
              <w:rPr>
                <w:sz w:val="24"/>
              </w:rPr>
              <w:t xml:space="preserve">Funkcja blokowania wejścia do  BIOS oraz blokowania startu systemu operacyjnego, (gwarantujący utrzymanie zapisanego hasła nawet w przypadku odłączenia wszystkich źródeł zasilania i podtrzymania BIOS).  </w:t>
            </w:r>
          </w:p>
          <w:p w14:paraId="58C4E5D1" w14:textId="77777777" w:rsidR="00D84F5E" w:rsidRDefault="00000000">
            <w:pPr>
              <w:ind w:left="62" w:right="69"/>
              <w:jc w:val="both"/>
            </w:pPr>
            <w:r>
              <w:rPr>
                <w:sz w:val="24"/>
              </w:rPr>
              <w:t xml:space="preserve">Funkcja blokowania/odblokowania BOOT-owania stacji roboczej z zewnętrznych urządzeń. Możliwość polegająca na kontrolowaniu urządzeń wykorzystujących magistralę komunikacyjną PCI, bez uruchamiania systemu operacyjnego z dysku twardego komputera lub innych podłączonych do niego urządzeń zewnętrznych. Pod pojęciem kontroli </w:t>
            </w:r>
          </w:p>
        </w:tc>
      </w:tr>
      <w:tr w:rsidR="00D84F5E" w14:paraId="2ED92E19" w14:textId="77777777" w:rsidTr="00FB4A72">
        <w:tblPrEx>
          <w:tblCellMar>
            <w:left w:w="0" w:type="dxa"/>
            <w:right w:w="0" w:type="dxa"/>
          </w:tblCellMar>
        </w:tblPrEx>
        <w:tc>
          <w:tcPr>
            <w:tcW w:w="569" w:type="dxa"/>
            <w:tcBorders>
              <w:top w:val="single" w:sz="4" w:space="0" w:color="000000"/>
              <w:left w:val="single" w:sz="4" w:space="0" w:color="000000"/>
              <w:bottom w:val="single" w:sz="4" w:space="0" w:color="000000"/>
              <w:right w:val="single" w:sz="4" w:space="0" w:color="000000"/>
            </w:tcBorders>
          </w:tcPr>
          <w:p w14:paraId="340408C5" w14:textId="77777777" w:rsidR="00D84F5E" w:rsidRDefault="00D84F5E"/>
        </w:tc>
        <w:tc>
          <w:tcPr>
            <w:tcW w:w="1486" w:type="dxa"/>
            <w:tcBorders>
              <w:top w:val="single" w:sz="4" w:space="0" w:color="000000"/>
              <w:left w:val="single" w:sz="4" w:space="0" w:color="000000"/>
              <w:bottom w:val="single" w:sz="4" w:space="0" w:color="000000"/>
              <w:right w:val="nil"/>
            </w:tcBorders>
          </w:tcPr>
          <w:p w14:paraId="19D14576" w14:textId="77777777" w:rsidR="00D84F5E" w:rsidRDefault="00D84F5E"/>
        </w:tc>
        <w:tc>
          <w:tcPr>
            <w:tcW w:w="216" w:type="dxa"/>
            <w:tcBorders>
              <w:top w:val="single" w:sz="4" w:space="0" w:color="000000"/>
              <w:left w:val="nil"/>
              <w:bottom w:val="single" w:sz="4" w:space="0" w:color="000000"/>
              <w:right w:val="single" w:sz="4" w:space="0" w:color="000000"/>
            </w:tcBorders>
          </w:tcPr>
          <w:p w14:paraId="0C6275D2" w14:textId="77777777" w:rsidR="00D84F5E" w:rsidRDefault="00D84F5E"/>
        </w:tc>
        <w:tc>
          <w:tcPr>
            <w:tcW w:w="7419" w:type="dxa"/>
            <w:tcBorders>
              <w:top w:val="single" w:sz="4" w:space="0" w:color="000000"/>
              <w:left w:val="single" w:sz="4" w:space="0" w:color="000000"/>
              <w:bottom w:val="single" w:sz="4" w:space="0" w:color="000000"/>
              <w:right w:val="single" w:sz="4" w:space="0" w:color="000000"/>
            </w:tcBorders>
          </w:tcPr>
          <w:p w14:paraId="384EA460" w14:textId="77777777" w:rsidR="00D84F5E" w:rsidRDefault="00000000">
            <w:pPr>
              <w:ind w:left="134"/>
              <w:jc w:val="both"/>
            </w:pPr>
            <w:r>
              <w:rPr>
                <w:sz w:val="24"/>
              </w:rPr>
              <w:t xml:space="preserve">Zamawiający rozumie funkcjonalność polegającą na blokowaniu/odblokowaniu slotów PCI.  </w:t>
            </w:r>
          </w:p>
          <w:p w14:paraId="3C04BB5C" w14:textId="77777777" w:rsidR="00D84F5E" w:rsidRDefault="00000000">
            <w:pPr>
              <w:ind w:left="134" w:right="73"/>
              <w:jc w:val="both"/>
            </w:pPr>
            <w:r>
              <w:rPr>
                <w:sz w:val="24"/>
              </w:rPr>
              <w:t xml:space="preserve">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1C949303" w14:textId="77777777" w:rsidR="00D84F5E" w:rsidRDefault="00000000">
            <w:pPr>
              <w:spacing w:line="239" w:lineRule="auto"/>
              <w:ind w:left="134" w:right="67"/>
              <w:jc w:val="both"/>
            </w:pPr>
            <w:r>
              <w:rPr>
                <w:sz w:val="24"/>
              </w:rPr>
              <w:t xml:space="preserve">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0AD8A4B9" w14:textId="77777777" w:rsidR="00D84F5E" w:rsidRDefault="00000000">
            <w:pPr>
              <w:spacing w:after="2" w:line="238" w:lineRule="auto"/>
              <w:ind w:left="134" w:right="75"/>
              <w:jc w:val="both"/>
            </w:pPr>
            <w:r>
              <w:rPr>
                <w:sz w:val="24"/>
              </w:rPr>
              <w:t xml:space="preserve">Możliwość włączenia/wyłączenia zintegrowanej karty dźwiękowej, karty sieciowej, portu równoległego, portu szeregowego z poziomu BIOS, bez uruchamiania systemu operacyjnego z dysku twardego komputera lub innych, podłączonych do niego, urządzeń zewnętrznych.  </w:t>
            </w:r>
          </w:p>
          <w:p w14:paraId="3433FD63" w14:textId="77777777" w:rsidR="00D84F5E" w:rsidRDefault="00000000">
            <w:pPr>
              <w:spacing w:after="2"/>
              <w:ind w:left="134" w:right="87"/>
              <w:jc w:val="both"/>
            </w:pPr>
            <w:r>
              <w:rPr>
                <w:sz w:val="24"/>
              </w:rPr>
              <w:t xml:space="preserve">Możliwość ustawienia portów USB w trybie „no BOOT”, czyli podczas startu komputer nie wykrywa urządzeń bootujących typu USB, natomiast po uruchomieniu systemu operacyjnego porty USB są aktywne.  </w:t>
            </w:r>
          </w:p>
          <w:p w14:paraId="498C90F0" w14:textId="77777777" w:rsidR="00D84F5E" w:rsidRDefault="00000000">
            <w:pPr>
              <w:ind w:left="134" w:right="86"/>
              <w:jc w:val="both"/>
            </w:pPr>
            <w:r>
              <w:rPr>
                <w:sz w:val="24"/>
              </w:rPr>
              <w:t xml:space="preserve">Możliwość wyłączania portów USB w tym: wszystkich portów, tylko portów znajdujących się na przodzie obudowy, tylko tylnych portów. Alternatywnie: </w:t>
            </w:r>
          </w:p>
          <w:p w14:paraId="30A11617" w14:textId="77777777" w:rsidR="00D84F5E" w:rsidRDefault="00000000">
            <w:pPr>
              <w:ind w:left="62"/>
            </w:pPr>
            <w:r w:rsidRPr="00FB4A72">
              <w:rPr>
                <w:color w:val="auto"/>
                <w:sz w:val="24"/>
              </w:rPr>
              <w:t>Możliwość wyłączania wszystkich portów USB, tak aby były niewidoczne dla systemu operacyjnego, przy czym po włączeniu takiej konfiguracji musi pozostać możliwość obsługi za pomocą klawiatury i myszy ze złączami USB</w:t>
            </w:r>
            <w:r>
              <w:rPr>
                <w:color w:val="FF0000"/>
                <w:sz w:val="24"/>
              </w:rPr>
              <w:t xml:space="preserve">. </w:t>
            </w:r>
          </w:p>
        </w:tc>
      </w:tr>
      <w:tr w:rsidR="00D84F5E" w14:paraId="66B26357" w14:textId="77777777" w:rsidTr="00FB4A72">
        <w:tblPrEx>
          <w:tblCellMar>
            <w:left w:w="0" w:type="dxa"/>
            <w:right w:w="0" w:type="dxa"/>
          </w:tblCellMar>
        </w:tblPrEx>
        <w:tc>
          <w:tcPr>
            <w:tcW w:w="569" w:type="dxa"/>
            <w:tcBorders>
              <w:top w:val="single" w:sz="4" w:space="0" w:color="000000"/>
              <w:left w:val="single" w:sz="8" w:space="0" w:color="000000"/>
              <w:bottom w:val="single" w:sz="4" w:space="0" w:color="000000"/>
              <w:right w:val="single" w:sz="4" w:space="0" w:color="000000"/>
            </w:tcBorders>
          </w:tcPr>
          <w:p w14:paraId="5CCA4255" w14:textId="77777777" w:rsidR="00D84F5E" w:rsidRDefault="00000000">
            <w:pPr>
              <w:ind w:left="89"/>
            </w:pPr>
            <w:r>
              <w:rPr>
                <w:sz w:val="24"/>
              </w:rPr>
              <w:t xml:space="preserve">14.  </w:t>
            </w:r>
          </w:p>
        </w:tc>
        <w:tc>
          <w:tcPr>
            <w:tcW w:w="1486" w:type="dxa"/>
            <w:tcBorders>
              <w:top w:val="single" w:sz="4" w:space="0" w:color="000000"/>
              <w:left w:val="single" w:sz="4" w:space="0" w:color="000000"/>
              <w:bottom w:val="single" w:sz="4" w:space="0" w:color="000000"/>
              <w:right w:val="nil"/>
            </w:tcBorders>
          </w:tcPr>
          <w:p w14:paraId="565F9B22" w14:textId="77777777" w:rsidR="00D84F5E" w:rsidRDefault="00000000">
            <w:pPr>
              <w:ind w:left="77"/>
            </w:pPr>
            <w:r>
              <w:rPr>
                <w:sz w:val="24"/>
              </w:rPr>
              <w:t xml:space="preserve">Certyfikaty standardy  </w:t>
            </w:r>
          </w:p>
        </w:tc>
        <w:tc>
          <w:tcPr>
            <w:tcW w:w="216" w:type="dxa"/>
            <w:tcBorders>
              <w:top w:val="single" w:sz="4" w:space="0" w:color="000000"/>
              <w:left w:val="nil"/>
              <w:bottom w:val="single" w:sz="4" w:space="0" w:color="000000"/>
              <w:right w:val="single" w:sz="4" w:space="0" w:color="000000"/>
            </w:tcBorders>
          </w:tcPr>
          <w:p w14:paraId="2CCF428A" w14:textId="77777777" w:rsidR="00D84F5E" w:rsidRDefault="00000000">
            <w:pPr>
              <w:jc w:val="both"/>
            </w:pPr>
            <w:r>
              <w:rPr>
                <w:sz w:val="24"/>
              </w:rPr>
              <w:t xml:space="preserve">i  </w:t>
            </w:r>
          </w:p>
        </w:tc>
        <w:tc>
          <w:tcPr>
            <w:tcW w:w="7419" w:type="dxa"/>
            <w:tcBorders>
              <w:top w:val="single" w:sz="4" w:space="0" w:color="000000"/>
              <w:left w:val="single" w:sz="4" w:space="0" w:color="000000"/>
              <w:bottom w:val="single" w:sz="4" w:space="0" w:color="000000"/>
              <w:right w:val="single" w:sz="4" w:space="0" w:color="000000"/>
            </w:tcBorders>
            <w:vAlign w:val="bottom"/>
          </w:tcPr>
          <w:p w14:paraId="26388426" w14:textId="77777777" w:rsidR="00D84F5E" w:rsidRDefault="00000000">
            <w:pPr>
              <w:numPr>
                <w:ilvl w:val="0"/>
                <w:numId w:val="6"/>
              </w:numPr>
              <w:ind w:left="395" w:hanging="190"/>
            </w:pPr>
            <w:r>
              <w:rPr>
                <w:sz w:val="24"/>
              </w:rPr>
              <w:t xml:space="preserve">Sprzęt musi posiadać deklarację zgodności CE   </w:t>
            </w:r>
          </w:p>
          <w:p w14:paraId="61325B60" w14:textId="77777777" w:rsidR="00D84F5E" w:rsidRDefault="00000000">
            <w:pPr>
              <w:numPr>
                <w:ilvl w:val="0"/>
                <w:numId w:val="6"/>
              </w:numPr>
              <w:ind w:left="395" w:hanging="190"/>
            </w:pPr>
            <w:r>
              <w:rPr>
                <w:sz w:val="24"/>
              </w:rPr>
              <w:t xml:space="preserve">Komputer musi posiadać certyfikat EPEAT minimum „Brązowy” wydany dla Polski.  </w:t>
            </w:r>
          </w:p>
          <w:p w14:paraId="63E86D35" w14:textId="77777777" w:rsidR="00D84F5E" w:rsidRDefault="00000000">
            <w:pPr>
              <w:ind w:left="79"/>
            </w:pPr>
            <w:r>
              <w:rPr>
                <w:sz w:val="24"/>
              </w:rPr>
              <w:t xml:space="preserve">Wymagany wpis dotyczący oferowanego komputera w internetowym katalogu </w:t>
            </w:r>
            <w:hyperlink r:id="rId11">
              <w:r>
                <w:rPr>
                  <w:color w:val="0000FF"/>
                  <w:sz w:val="24"/>
                  <w:u w:val="single" w:color="0000FF"/>
                </w:rPr>
                <w:t>http://www.epeat.ne</w:t>
              </w:r>
            </w:hyperlink>
            <w:hyperlink r:id="rId12">
              <w:r>
                <w:rPr>
                  <w:color w:val="0000FF"/>
                  <w:sz w:val="24"/>
                  <w:u w:val="single" w:color="0000FF"/>
                </w:rPr>
                <w:t>t</w:t>
              </w:r>
            </w:hyperlink>
            <w:hyperlink r:id="rId13">
              <w:r>
                <w:rPr>
                  <w:sz w:val="24"/>
                </w:rPr>
                <w:t xml:space="preserve">  </w:t>
              </w:r>
            </w:hyperlink>
            <w:r>
              <w:rPr>
                <w:sz w:val="24"/>
              </w:rPr>
              <w:t xml:space="preserve"> </w:t>
            </w:r>
          </w:p>
        </w:tc>
      </w:tr>
      <w:tr w:rsidR="00D84F5E" w14:paraId="3E55B92A" w14:textId="77777777" w:rsidTr="00FB4A72">
        <w:tblPrEx>
          <w:tblCellMar>
            <w:left w:w="0" w:type="dxa"/>
            <w:right w:w="0" w:type="dxa"/>
          </w:tblCellMar>
        </w:tblPrEx>
        <w:tc>
          <w:tcPr>
            <w:tcW w:w="569" w:type="dxa"/>
            <w:tcBorders>
              <w:top w:val="single" w:sz="4" w:space="0" w:color="000000"/>
              <w:left w:val="single" w:sz="8" w:space="0" w:color="000000"/>
              <w:bottom w:val="single" w:sz="4" w:space="0" w:color="000000"/>
              <w:right w:val="single" w:sz="4" w:space="0" w:color="000000"/>
            </w:tcBorders>
          </w:tcPr>
          <w:p w14:paraId="6499FFAF" w14:textId="77777777" w:rsidR="00D84F5E" w:rsidRDefault="00000000">
            <w:pPr>
              <w:ind w:left="89"/>
            </w:pPr>
            <w:r>
              <w:rPr>
                <w:sz w:val="24"/>
              </w:rPr>
              <w:lastRenderedPageBreak/>
              <w:t xml:space="preserve">15. </w:t>
            </w:r>
          </w:p>
        </w:tc>
        <w:tc>
          <w:tcPr>
            <w:tcW w:w="1486" w:type="dxa"/>
            <w:tcBorders>
              <w:top w:val="single" w:sz="4" w:space="0" w:color="000000"/>
              <w:left w:val="single" w:sz="4" w:space="0" w:color="000000"/>
              <w:bottom w:val="single" w:sz="4" w:space="0" w:color="000000"/>
              <w:right w:val="nil"/>
            </w:tcBorders>
          </w:tcPr>
          <w:p w14:paraId="02F2B8D1" w14:textId="77777777" w:rsidR="00D84F5E" w:rsidRDefault="00000000">
            <w:pPr>
              <w:ind w:left="77"/>
            </w:pPr>
            <w:r>
              <w:rPr>
                <w:sz w:val="24"/>
              </w:rPr>
              <w:t xml:space="preserve">Ergonomia </w:t>
            </w:r>
          </w:p>
        </w:tc>
        <w:tc>
          <w:tcPr>
            <w:tcW w:w="216" w:type="dxa"/>
            <w:tcBorders>
              <w:top w:val="single" w:sz="4" w:space="0" w:color="000000"/>
              <w:left w:val="nil"/>
              <w:bottom w:val="single" w:sz="4" w:space="0" w:color="000000"/>
              <w:right w:val="single" w:sz="4" w:space="0" w:color="000000"/>
            </w:tcBorders>
          </w:tcPr>
          <w:p w14:paraId="34A8CE0B" w14:textId="77777777" w:rsidR="00D84F5E" w:rsidRDefault="00000000">
            <w:r>
              <w:rPr>
                <w:sz w:val="24"/>
              </w:rPr>
              <w:t xml:space="preserve"> </w:t>
            </w:r>
          </w:p>
        </w:tc>
        <w:tc>
          <w:tcPr>
            <w:tcW w:w="7419" w:type="dxa"/>
            <w:tcBorders>
              <w:top w:val="single" w:sz="4" w:space="0" w:color="000000"/>
              <w:left w:val="single" w:sz="4" w:space="0" w:color="000000"/>
              <w:bottom w:val="single" w:sz="4" w:space="0" w:color="000000"/>
              <w:right w:val="single" w:sz="4" w:space="0" w:color="000000"/>
            </w:tcBorders>
            <w:vAlign w:val="bottom"/>
          </w:tcPr>
          <w:p w14:paraId="4AF5449B" w14:textId="77777777" w:rsidR="00D84F5E" w:rsidRDefault="00000000">
            <w:pPr>
              <w:ind w:left="154"/>
            </w:pPr>
            <w:r>
              <w:rPr>
                <w:sz w:val="24"/>
              </w:rPr>
              <w:t xml:space="preserve">Głośność przy maksymalnym obciążeniu nie powinna przekraczać 22dB, mierzona zgodnie z normą ISO 7779 oraz wykazana zgodnie z normą ISO 9296 w pozycji obserwatora w trybie pracy dysku twardego (IDLE). </w:t>
            </w:r>
          </w:p>
        </w:tc>
      </w:tr>
      <w:tr w:rsidR="00D84F5E" w14:paraId="7B1F2845" w14:textId="77777777" w:rsidTr="00FB4A72">
        <w:tblPrEx>
          <w:tblCellMar>
            <w:left w:w="0" w:type="dxa"/>
            <w:right w:w="0" w:type="dxa"/>
          </w:tblCellMar>
        </w:tblPrEx>
        <w:tc>
          <w:tcPr>
            <w:tcW w:w="569" w:type="dxa"/>
            <w:tcBorders>
              <w:top w:val="single" w:sz="4" w:space="0" w:color="000000"/>
              <w:left w:val="single" w:sz="8" w:space="0" w:color="000000"/>
              <w:bottom w:val="single" w:sz="4" w:space="0" w:color="000000"/>
              <w:right w:val="single" w:sz="4" w:space="0" w:color="000000"/>
            </w:tcBorders>
          </w:tcPr>
          <w:p w14:paraId="79AD4557" w14:textId="77777777" w:rsidR="00D84F5E" w:rsidRDefault="00000000">
            <w:pPr>
              <w:ind w:left="89"/>
            </w:pPr>
            <w:r>
              <w:rPr>
                <w:sz w:val="24"/>
              </w:rPr>
              <w:t xml:space="preserve">16.  </w:t>
            </w:r>
          </w:p>
        </w:tc>
        <w:tc>
          <w:tcPr>
            <w:tcW w:w="1486" w:type="dxa"/>
            <w:tcBorders>
              <w:top w:val="single" w:sz="4" w:space="0" w:color="000000"/>
              <w:left w:val="single" w:sz="4" w:space="0" w:color="000000"/>
              <w:bottom w:val="single" w:sz="4" w:space="0" w:color="000000"/>
              <w:right w:val="nil"/>
            </w:tcBorders>
          </w:tcPr>
          <w:p w14:paraId="074A0695" w14:textId="77777777" w:rsidR="00D84F5E" w:rsidRDefault="00000000">
            <w:pPr>
              <w:ind w:left="77"/>
            </w:pPr>
            <w:r>
              <w:rPr>
                <w:sz w:val="24"/>
              </w:rPr>
              <w:t xml:space="preserve">Warunki gwarancji  </w:t>
            </w:r>
          </w:p>
        </w:tc>
        <w:tc>
          <w:tcPr>
            <w:tcW w:w="216" w:type="dxa"/>
            <w:tcBorders>
              <w:top w:val="single" w:sz="4" w:space="0" w:color="000000"/>
              <w:left w:val="nil"/>
              <w:bottom w:val="single" w:sz="4" w:space="0" w:color="000000"/>
              <w:right w:val="single" w:sz="4" w:space="0" w:color="000000"/>
            </w:tcBorders>
          </w:tcPr>
          <w:p w14:paraId="3DEB2BDD" w14:textId="77777777" w:rsidR="00D84F5E" w:rsidRDefault="00000000">
            <w:r>
              <w:rPr>
                <w:sz w:val="24"/>
              </w:rPr>
              <w:t xml:space="preserve"> </w:t>
            </w:r>
          </w:p>
        </w:tc>
        <w:tc>
          <w:tcPr>
            <w:tcW w:w="7419" w:type="dxa"/>
            <w:tcBorders>
              <w:top w:val="single" w:sz="4" w:space="0" w:color="000000"/>
              <w:left w:val="single" w:sz="4" w:space="0" w:color="000000"/>
              <w:bottom w:val="single" w:sz="4" w:space="0" w:color="000000"/>
              <w:right w:val="single" w:sz="4" w:space="0" w:color="000000"/>
            </w:tcBorders>
            <w:vAlign w:val="bottom"/>
          </w:tcPr>
          <w:p w14:paraId="01FE9DCC" w14:textId="36CF9C0B" w:rsidR="00D84F5E" w:rsidRDefault="00E32E6D">
            <w:pPr>
              <w:spacing w:after="1" w:line="239" w:lineRule="auto"/>
              <w:ind w:left="154" w:right="63"/>
              <w:jc w:val="both"/>
            </w:pPr>
            <w:r>
              <w:rPr>
                <w:sz w:val="24"/>
              </w:rPr>
              <w:t xml:space="preserve">Minimum 3-letnia gwarancja producenta świadczona na miejscu u klienta z opcją „zachowaj dysk” która w przypadku awarii gwarantuje, że dysk pozostaje u zamawiającego. Zamawiający wymaga dołączenia do oferty oświadczenia, że w przypadku wystąpienia awarii dysku twardego w urządzeniu objętym aktywnym wparciem technicznym, uszkodzony dysk twardy pozostaje u Zamawiającego.  </w:t>
            </w:r>
          </w:p>
          <w:p w14:paraId="1FF84CCA" w14:textId="77777777" w:rsidR="00D84F5E" w:rsidRDefault="00000000">
            <w:pPr>
              <w:ind w:left="154"/>
            </w:pPr>
            <w:r>
              <w:rPr>
                <w:sz w:val="24"/>
              </w:rPr>
              <w:t xml:space="preserve">Czas gwarancji biegnie od daty dostarczenia sprzętu.  </w:t>
            </w:r>
          </w:p>
          <w:p w14:paraId="13A6A546" w14:textId="77777777" w:rsidR="00D84F5E" w:rsidRDefault="00000000">
            <w:pPr>
              <w:ind w:left="154" w:right="65"/>
              <w:jc w:val="both"/>
            </w:pPr>
            <w:r>
              <w:rPr>
                <w:sz w:val="24"/>
              </w:rPr>
              <w:t xml:space="preserve">Czas reakcji serwisu - do końca następnego dnia roboczego tj. w przypadku awarii zakwalifikowanej jako naprawa w miejscu instalacji urządzenia, część zamienna wymagana do naprawy i/lub technik serwisowy przybędzie </w:t>
            </w:r>
          </w:p>
        </w:tc>
      </w:tr>
      <w:tr w:rsidR="00D84F5E" w14:paraId="50920EB8" w14:textId="77777777" w:rsidTr="00FB4A72">
        <w:tblPrEx>
          <w:tblCellMar>
            <w:left w:w="0" w:type="dxa"/>
            <w:right w:w="0" w:type="dxa"/>
          </w:tblCellMar>
        </w:tblPrEx>
        <w:tc>
          <w:tcPr>
            <w:tcW w:w="569" w:type="dxa"/>
            <w:tcBorders>
              <w:top w:val="single" w:sz="4" w:space="0" w:color="000000"/>
              <w:left w:val="single" w:sz="8" w:space="0" w:color="000000"/>
              <w:bottom w:val="single" w:sz="4" w:space="0" w:color="000000"/>
              <w:right w:val="single" w:sz="4" w:space="0" w:color="000000"/>
            </w:tcBorders>
          </w:tcPr>
          <w:p w14:paraId="7558E7F5" w14:textId="77777777" w:rsidR="00D84F5E" w:rsidRDefault="00D84F5E"/>
        </w:tc>
        <w:tc>
          <w:tcPr>
            <w:tcW w:w="1702" w:type="dxa"/>
            <w:gridSpan w:val="2"/>
            <w:tcBorders>
              <w:top w:val="single" w:sz="4" w:space="0" w:color="000000"/>
              <w:left w:val="single" w:sz="4" w:space="0" w:color="000000"/>
              <w:bottom w:val="single" w:sz="4" w:space="0" w:color="000000"/>
              <w:right w:val="single" w:sz="4" w:space="0" w:color="000000"/>
            </w:tcBorders>
          </w:tcPr>
          <w:p w14:paraId="6EC79CCF" w14:textId="77777777" w:rsidR="00D84F5E" w:rsidRDefault="00D84F5E"/>
        </w:tc>
        <w:tc>
          <w:tcPr>
            <w:tcW w:w="7419" w:type="dxa"/>
            <w:tcBorders>
              <w:top w:val="single" w:sz="4" w:space="0" w:color="000000"/>
              <w:left w:val="single" w:sz="4" w:space="0" w:color="000000"/>
              <w:bottom w:val="single" w:sz="4" w:space="0" w:color="000000"/>
              <w:right w:val="single" w:sz="4" w:space="0" w:color="000000"/>
            </w:tcBorders>
          </w:tcPr>
          <w:p w14:paraId="7AD7A64F" w14:textId="77777777" w:rsidR="00D84F5E" w:rsidRDefault="00000000">
            <w:pPr>
              <w:spacing w:after="24"/>
              <w:ind w:left="77"/>
              <w:jc w:val="both"/>
            </w:pPr>
            <w:r>
              <w:rPr>
                <w:sz w:val="24"/>
              </w:rPr>
              <w:t xml:space="preserve">na miejsce wskazane przez klienta na następny dzień roboczy od momentu skutecznego przyjęcia zgłoszenia przez Dział Wsparcia Technicznego.  </w:t>
            </w:r>
          </w:p>
          <w:p w14:paraId="3E14214E" w14:textId="77777777" w:rsidR="00D84F5E" w:rsidRDefault="00000000">
            <w:pPr>
              <w:spacing w:line="241" w:lineRule="auto"/>
              <w:ind w:left="77" w:right="63"/>
              <w:jc w:val="both"/>
            </w:pPr>
            <w:r>
              <w:rPr>
                <w:sz w:val="24"/>
              </w:rPr>
              <w:t xml:space="preserve">Firma serwisująca musi posiadać ISO 9001: 2008 na świadczenie usług serwisowych oraz posiadać autoryzacje producenta komputera. Producenta potwierdzając, że Serwis urządzeń będzie realizowany bezpośrednio przez Producenta i/lub we współpracy z Autoryzowanym Partnerem Serwisowym Producenta.  </w:t>
            </w:r>
          </w:p>
          <w:p w14:paraId="254E89E0" w14:textId="77777777" w:rsidR="00D84F5E" w:rsidRDefault="00000000">
            <w:pPr>
              <w:spacing w:line="241" w:lineRule="auto"/>
              <w:ind w:left="77" w:right="12"/>
              <w:jc w:val="both"/>
            </w:pPr>
            <w:r>
              <w:rPr>
                <w:sz w:val="24"/>
              </w:rPr>
              <w:t xml:space="preserve">Okres i rodzaj gwarancji musi być możliwy do zweryfikowania na podstawie unikalnego numeru seryjnego komputera np. na stronie internetowej producenta sprzętu.  </w:t>
            </w:r>
          </w:p>
          <w:p w14:paraId="510C165D" w14:textId="77777777" w:rsidR="00D84F5E" w:rsidRDefault="00000000">
            <w:pPr>
              <w:ind w:left="77" w:right="17"/>
              <w:jc w:val="both"/>
            </w:pPr>
            <w:r>
              <w:rPr>
                <w:sz w:val="24"/>
              </w:rPr>
              <w:t xml:space="preserve">Dostępna ogólnopolska, telefoniczna infolinia/linia techniczna producenta komputera (rozliczana wg standardowych stawek operatora, nie dopuszcza się stosowania infolinii o podwyższonej płatności, w ofercie należy podać nr telefonu) w czasie obowiązywania gwarancji na sprzęt i umożliwiająca po podaniu numeru seryjnego urządzenia weryfikację fabrycznej konfiguracji komputera </w:t>
            </w:r>
          </w:p>
          <w:p w14:paraId="57C2CC45" w14:textId="77777777" w:rsidR="00D84F5E" w:rsidRDefault="00000000">
            <w:pPr>
              <w:ind w:left="77" w:right="77"/>
              <w:jc w:val="both"/>
            </w:pPr>
            <w:r>
              <w:rPr>
                <w:sz w:val="24"/>
              </w:rPr>
              <w:t xml:space="preserve">Oświadczenie Wykonawcy, że w przypadku nie wywiązywania się przez niego lub firmę serwisującą z obowiązków gwarancyjnych, producent przejmie na siebie wszelkie zobowiązania związane z serwisem.  </w:t>
            </w:r>
          </w:p>
          <w:p w14:paraId="67234EC7" w14:textId="77777777" w:rsidR="00D84F5E" w:rsidRDefault="00000000">
            <w:pPr>
              <w:ind w:left="77" w:right="70"/>
              <w:jc w:val="both"/>
            </w:pPr>
            <w:r>
              <w:rPr>
                <w:b/>
                <w:sz w:val="24"/>
              </w:rPr>
              <w:t>Okres gwarancji stanowi kryterium oceny ofert w tym postępowaniu, ostateczny termin gwarancji zostanie określony przez Wykonawcę w złożonej ofercie.</w:t>
            </w:r>
            <w:r>
              <w:rPr>
                <w:sz w:val="24"/>
              </w:rPr>
              <w:t xml:space="preserve"> </w:t>
            </w:r>
          </w:p>
        </w:tc>
      </w:tr>
      <w:tr w:rsidR="00D84F5E" w14:paraId="4650CED7" w14:textId="77777777" w:rsidTr="00FB4A72">
        <w:tblPrEx>
          <w:tblCellMar>
            <w:left w:w="0" w:type="dxa"/>
            <w:right w:w="0" w:type="dxa"/>
          </w:tblCellMar>
        </w:tblPrEx>
        <w:tc>
          <w:tcPr>
            <w:tcW w:w="569" w:type="dxa"/>
            <w:tcBorders>
              <w:top w:val="single" w:sz="4" w:space="0" w:color="000000"/>
              <w:left w:val="single" w:sz="8" w:space="0" w:color="000000"/>
              <w:bottom w:val="single" w:sz="4" w:space="0" w:color="000000"/>
              <w:right w:val="single" w:sz="4" w:space="0" w:color="000000"/>
            </w:tcBorders>
          </w:tcPr>
          <w:p w14:paraId="0E4B8E4D" w14:textId="77777777" w:rsidR="00D84F5E" w:rsidRDefault="00000000">
            <w:pPr>
              <w:ind w:left="12"/>
            </w:pPr>
            <w:r>
              <w:rPr>
                <w:sz w:val="24"/>
              </w:rPr>
              <w:t xml:space="preserve">17.  </w:t>
            </w:r>
          </w:p>
        </w:tc>
        <w:tc>
          <w:tcPr>
            <w:tcW w:w="1702" w:type="dxa"/>
            <w:gridSpan w:val="2"/>
            <w:tcBorders>
              <w:top w:val="single" w:sz="4" w:space="0" w:color="000000"/>
              <w:left w:val="single" w:sz="4" w:space="0" w:color="000000"/>
              <w:bottom w:val="single" w:sz="4" w:space="0" w:color="000000"/>
              <w:right w:val="single" w:sz="4" w:space="0" w:color="000000"/>
            </w:tcBorders>
          </w:tcPr>
          <w:p w14:paraId="039ED134" w14:textId="77777777" w:rsidR="00D84F5E" w:rsidRDefault="00000000">
            <w:pPr>
              <w:tabs>
                <w:tab w:val="center" w:pos="1486"/>
              </w:tabs>
            </w:pPr>
            <w:r>
              <w:rPr>
                <w:sz w:val="24"/>
              </w:rPr>
              <w:t xml:space="preserve">Wsparcie </w:t>
            </w:r>
            <w:r>
              <w:rPr>
                <w:sz w:val="24"/>
              </w:rPr>
              <w:tab/>
              <w:t xml:space="preserve"> </w:t>
            </w:r>
          </w:p>
          <w:p w14:paraId="7ECC7853" w14:textId="77777777" w:rsidR="00D84F5E" w:rsidRDefault="00000000">
            <w:r>
              <w:rPr>
                <w:sz w:val="24"/>
              </w:rPr>
              <w:t xml:space="preserve">techniczne producenta  </w:t>
            </w:r>
          </w:p>
        </w:tc>
        <w:tc>
          <w:tcPr>
            <w:tcW w:w="7419" w:type="dxa"/>
            <w:tcBorders>
              <w:top w:val="single" w:sz="4" w:space="0" w:color="000000"/>
              <w:left w:val="single" w:sz="4" w:space="0" w:color="000000"/>
              <w:bottom w:val="single" w:sz="4" w:space="0" w:color="000000"/>
              <w:right w:val="single" w:sz="4" w:space="0" w:color="000000"/>
            </w:tcBorders>
            <w:vAlign w:val="bottom"/>
          </w:tcPr>
          <w:p w14:paraId="05311073" w14:textId="77777777" w:rsidR="00D84F5E" w:rsidRDefault="00000000">
            <w:pPr>
              <w:ind w:left="77" w:right="68"/>
              <w:jc w:val="both"/>
            </w:pPr>
            <w:r>
              <w:rPr>
                <w:sz w:val="24"/>
              </w:rPr>
              <w:t xml:space="preserve">Możliwość telefonicznego sprawdzenia konfiguracji sprzętowej komputera oraz warunków gwarancji po podaniu numeru seryjnego bezpośrednio u producenta lub jego przedstawiciela. Dostęp do najnowszych sterowników i uaktualnień na stronie producenta zestawu realizowany poprzez podanie na dedykowanej stronie internetowej producenta numeru seryjnego lub modelu komputera – do oferty należy dołączyć link strony.  </w:t>
            </w:r>
          </w:p>
        </w:tc>
      </w:tr>
      <w:tr w:rsidR="00D84F5E" w14:paraId="6A9CB48C" w14:textId="77777777" w:rsidTr="00FB4A72">
        <w:tblPrEx>
          <w:tblCellMar>
            <w:left w:w="0" w:type="dxa"/>
            <w:right w:w="0" w:type="dxa"/>
          </w:tblCellMar>
        </w:tblPrEx>
        <w:tc>
          <w:tcPr>
            <w:tcW w:w="569" w:type="dxa"/>
            <w:tcBorders>
              <w:top w:val="single" w:sz="4" w:space="0" w:color="000000"/>
              <w:left w:val="single" w:sz="8" w:space="0" w:color="000000"/>
              <w:bottom w:val="single" w:sz="4" w:space="0" w:color="000000"/>
              <w:right w:val="single" w:sz="4" w:space="0" w:color="000000"/>
            </w:tcBorders>
          </w:tcPr>
          <w:p w14:paraId="251BD763" w14:textId="77777777" w:rsidR="00D84F5E" w:rsidRDefault="00000000">
            <w:pPr>
              <w:ind w:left="12"/>
            </w:pPr>
            <w:r>
              <w:rPr>
                <w:sz w:val="24"/>
              </w:rPr>
              <w:t xml:space="preserve">18.  </w:t>
            </w:r>
          </w:p>
        </w:tc>
        <w:tc>
          <w:tcPr>
            <w:tcW w:w="1702" w:type="dxa"/>
            <w:gridSpan w:val="2"/>
            <w:tcBorders>
              <w:top w:val="single" w:sz="4" w:space="0" w:color="000000"/>
              <w:left w:val="single" w:sz="4" w:space="0" w:color="000000"/>
              <w:bottom w:val="single" w:sz="4" w:space="0" w:color="000000"/>
              <w:right w:val="single" w:sz="4" w:space="0" w:color="000000"/>
            </w:tcBorders>
          </w:tcPr>
          <w:p w14:paraId="3822BD2B" w14:textId="77777777" w:rsidR="00D84F5E" w:rsidRDefault="00000000">
            <w:r>
              <w:rPr>
                <w:sz w:val="24"/>
              </w:rPr>
              <w:t xml:space="preserve">Wymagania </w:t>
            </w:r>
            <w:r>
              <w:rPr>
                <w:sz w:val="24"/>
              </w:rPr>
              <w:tab/>
              <w:t xml:space="preserve"> dodatkowe  </w:t>
            </w:r>
          </w:p>
        </w:tc>
        <w:tc>
          <w:tcPr>
            <w:tcW w:w="7419" w:type="dxa"/>
            <w:tcBorders>
              <w:top w:val="single" w:sz="4" w:space="0" w:color="000000"/>
              <w:left w:val="single" w:sz="4" w:space="0" w:color="000000"/>
              <w:bottom w:val="single" w:sz="4" w:space="0" w:color="000000"/>
              <w:right w:val="single" w:sz="4" w:space="0" w:color="000000"/>
            </w:tcBorders>
          </w:tcPr>
          <w:p w14:paraId="27BFEA0C" w14:textId="77777777" w:rsidR="00D84F5E" w:rsidRDefault="00000000">
            <w:pPr>
              <w:ind w:left="77"/>
            </w:pPr>
            <w:r>
              <w:rPr>
                <w:sz w:val="24"/>
              </w:rPr>
              <w:t xml:space="preserve">Porty zintegrowane z płytą główną:  </w:t>
            </w:r>
          </w:p>
          <w:p w14:paraId="08829685" w14:textId="77777777" w:rsidR="00D84F5E" w:rsidRDefault="00000000">
            <w:pPr>
              <w:numPr>
                <w:ilvl w:val="0"/>
                <w:numId w:val="7"/>
              </w:numPr>
            </w:pPr>
            <w:r>
              <w:rPr>
                <w:sz w:val="24"/>
              </w:rPr>
              <w:t xml:space="preserve">możliwość podłączenia minimum 2 monitorów,  </w:t>
            </w:r>
          </w:p>
          <w:p w14:paraId="14D51CB9" w14:textId="77777777" w:rsidR="00D84F5E" w:rsidRDefault="00000000">
            <w:pPr>
              <w:numPr>
                <w:ilvl w:val="0"/>
                <w:numId w:val="7"/>
              </w:numPr>
            </w:pPr>
            <w:r>
              <w:rPr>
                <w:sz w:val="24"/>
              </w:rPr>
              <w:t xml:space="preserve">minimum 2 porty USB 2.0 z przodu obudowy,  </w:t>
            </w:r>
          </w:p>
          <w:p w14:paraId="4EBBA5B8" w14:textId="77777777" w:rsidR="00D84F5E" w:rsidRDefault="00000000">
            <w:pPr>
              <w:numPr>
                <w:ilvl w:val="0"/>
                <w:numId w:val="7"/>
              </w:numPr>
            </w:pPr>
            <w:r>
              <w:rPr>
                <w:sz w:val="24"/>
              </w:rPr>
              <w:lastRenderedPageBreak/>
              <w:t xml:space="preserve">minimum 2 porty USB 3.2 z przodu obudowy,  </w:t>
            </w:r>
          </w:p>
          <w:p w14:paraId="0FD16CBF" w14:textId="77777777" w:rsidR="00D84F5E" w:rsidRDefault="00000000">
            <w:pPr>
              <w:numPr>
                <w:ilvl w:val="0"/>
                <w:numId w:val="7"/>
              </w:numPr>
            </w:pPr>
            <w:r>
              <w:rPr>
                <w:sz w:val="24"/>
              </w:rPr>
              <w:t xml:space="preserve">minimum 2 porty USB 2.0 z tyłu obudowy,  </w:t>
            </w:r>
          </w:p>
          <w:p w14:paraId="70459A40" w14:textId="77777777" w:rsidR="00D84F5E" w:rsidRDefault="00000000">
            <w:pPr>
              <w:numPr>
                <w:ilvl w:val="0"/>
                <w:numId w:val="7"/>
              </w:numPr>
            </w:pPr>
            <w:r>
              <w:rPr>
                <w:sz w:val="24"/>
              </w:rPr>
              <w:t xml:space="preserve">minimum 2 porty USB 3.2 z tyłu obudowy,  </w:t>
            </w:r>
          </w:p>
          <w:p w14:paraId="393B724D" w14:textId="77777777" w:rsidR="00D84F5E" w:rsidRDefault="00000000">
            <w:pPr>
              <w:numPr>
                <w:ilvl w:val="0"/>
                <w:numId w:val="7"/>
              </w:numPr>
              <w:spacing w:after="1" w:line="239" w:lineRule="auto"/>
            </w:pPr>
            <w:r>
              <w:rPr>
                <w:sz w:val="24"/>
              </w:rPr>
              <w:t>karta sieciowa 1GBit Ethernet RJ 45, zintegrowana z płytą główną, wspierająca obsługę</w:t>
            </w:r>
            <w:r>
              <w:rPr>
                <w:i/>
                <w:color w:val="FF0000"/>
                <w:sz w:val="24"/>
              </w:rPr>
              <w:t xml:space="preserve"> </w:t>
            </w:r>
            <w:r>
              <w:rPr>
                <w:sz w:val="24"/>
              </w:rPr>
              <w:t>WoL (funkcja włączana przez użytkownika), PXE 2.1, umożliwiająca zdalny dostęp do wbudowanej sprzętowej technologii zarządzania komputerem z poziomu konsoli zarządzania - niezależnie od stanu zasilania komputera - łącznie z obsługą stanu S3 (uśpienie) oraz S4-</w:t>
            </w:r>
          </w:p>
          <w:p w14:paraId="389CC0ED" w14:textId="77777777" w:rsidR="00D84F5E" w:rsidRDefault="00000000">
            <w:pPr>
              <w:ind w:left="77"/>
            </w:pPr>
            <w:r>
              <w:rPr>
                <w:sz w:val="24"/>
              </w:rPr>
              <w:t xml:space="preserve">S5 (hibernacja i wyłączenie);   </w:t>
            </w:r>
          </w:p>
          <w:p w14:paraId="70A20C7A" w14:textId="77777777" w:rsidR="00D84F5E" w:rsidRDefault="00000000">
            <w:pPr>
              <w:ind w:left="77"/>
              <w:jc w:val="both"/>
            </w:pPr>
            <w:r>
              <w:rPr>
                <w:sz w:val="24"/>
              </w:rPr>
              <w:t xml:space="preserve">Płyta główna dedykowana dla danego urządzenia; wyposażona w min 1 złącze PCI Express 3.0 x 16, jedno złącze M.2 z obsługą dysku SSD, 2 złącza </w:t>
            </w:r>
          </w:p>
          <w:p w14:paraId="13C58FFF" w14:textId="77777777" w:rsidR="00D84F5E" w:rsidRDefault="00000000">
            <w:pPr>
              <w:ind w:left="77"/>
            </w:pPr>
            <w:r>
              <w:rPr>
                <w:sz w:val="24"/>
              </w:rPr>
              <w:t>SATA III, 2 gniazda pamięci, układ TMP;</w:t>
            </w:r>
            <w:r>
              <w:rPr>
                <w:i/>
                <w:color w:val="00B050"/>
                <w:sz w:val="24"/>
              </w:rPr>
              <w:t xml:space="preserve"> </w:t>
            </w:r>
            <w:r>
              <w:rPr>
                <w:sz w:val="24"/>
              </w:rPr>
              <w:t xml:space="preserve"> </w:t>
            </w:r>
          </w:p>
          <w:p w14:paraId="1D31DDDD" w14:textId="77777777" w:rsidR="00D84F5E" w:rsidRDefault="00000000">
            <w:pPr>
              <w:ind w:left="77"/>
            </w:pPr>
            <w:r>
              <w:rPr>
                <w:sz w:val="24"/>
              </w:rPr>
              <w:t xml:space="preserve">Klawiatura USB w układzie „polski programisty„  </w:t>
            </w:r>
          </w:p>
          <w:p w14:paraId="1D1931EB" w14:textId="77777777" w:rsidR="00D84F5E" w:rsidRDefault="00000000">
            <w:pPr>
              <w:ind w:left="77"/>
            </w:pPr>
            <w:r>
              <w:rPr>
                <w:sz w:val="24"/>
              </w:rPr>
              <w:t xml:space="preserve">Mysz optyczna USB z dwoma klawiszami oraz rolką (scroll)   </w:t>
            </w:r>
          </w:p>
        </w:tc>
      </w:tr>
    </w:tbl>
    <w:p w14:paraId="18C75732" w14:textId="77777777" w:rsidR="00D84F5E" w:rsidRDefault="00000000">
      <w:pPr>
        <w:spacing w:after="0"/>
        <w:ind w:left="14"/>
      </w:pPr>
      <w:r>
        <w:rPr>
          <w:b/>
          <w:sz w:val="24"/>
        </w:rPr>
        <w:lastRenderedPageBreak/>
        <w:t xml:space="preserve">  </w:t>
      </w:r>
    </w:p>
    <w:p w14:paraId="3268E811" w14:textId="77777777" w:rsidR="00D84F5E" w:rsidRDefault="00000000">
      <w:pPr>
        <w:spacing w:after="1"/>
        <w:ind w:left="-5" w:hanging="10"/>
      </w:pPr>
      <w:r>
        <w:rPr>
          <w:b/>
          <w:sz w:val="24"/>
        </w:rPr>
        <w:t xml:space="preserve">Tabela 2. Monitor 27 cali  </w:t>
      </w:r>
    </w:p>
    <w:tbl>
      <w:tblPr>
        <w:tblStyle w:val="TableGrid"/>
        <w:tblW w:w="9496" w:type="dxa"/>
        <w:tblInd w:w="26" w:type="dxa"/>
        <w:tblCellMar>
          <w:top w:w="106" w:type="dxa"/>
          <w:left w:w="72" w:type="dxa"/>
          <w:bottom w:w="5" w:type="dxa"/>
        </w:tblCellMar>
        <w:tblLook w:val="04A0" w:firstRow="1" w:lastRow="0" w:firstColumn="1" w:lastColumn="0" w:noHBand="0" w:noVBand="1"/>
      </w:tblPr>
      <w:tblGrid>
        <w:gridCol w:w="487"/>
        <w:gridCol w:w="4042"/>
        <w:gridCol w:w="4967"/>
      </w:tblGrid>
      <w:tr w:rsidR="00D84F5E" w14:paraId="32B02583" w14:textId="77777777" w:rsidTr="00FB4A72">
        <w:tc>
          <w:tcPr>
            <w:tcW w:w="487" w:type="dxa"/>
            <w:tcBorders>
              <w:top w:val="single" w:sz="4" w:space="0" w:color="000000"/>
              <w:left w:val="single" w:sz="4" w:space="0" w:color="000000"/>
              <w:bottom w:val="single" w:sz="4" w:space="0" w:color="000000"/>
              <w:right w:val="single" w:sz="4" w:space="0" w:color="000000"/>
            </w:tcBorders>
          </w:tcPr>
          <w:p w14:paraId="7D9B91EA" w14:textId="77777777" w:rsidR="00D84F5E" w:rsidRDefault="00000000">
            <w:pPr>
              <w:jc w:val="both"/>
            </w:pPr>
            <w:r>
              <w:rPr>
                <w:b/>
                <w:sz w:val="24"/>
              </w:rPr>
              <w:t xml:space="preserve">L.p. </w:t>
            </w:r>
          </w:p>
        </w:tc>
        <w:tc>
          <w:tcPr>
            <w:tcW w:w="4042" w:type="dxa"/>
            <w:tcBorders>
              <w:top w:val="single" w:sz="4" w:space="0" w:color="000000"/>
              <w:left w:val="single" w:sz="4" w:space="0" w:color="000000"/>
              <w:bottom w:val="single" w:sz="4" w:space="0" w:color="000000"/>
              <w:right w:val="single" w:sz="4" w:space="0" w:color="000000"/>
            </w:tcBorders>
          </w:tcPr>
          <w:p w14:paraId="5439B19F" w14:textId="77777777" w:rsidR="00D84F5E" w:rsidRDefault="00000000">
            <w:r>
              <w:rPr>
                <w:b/>
                <w:sz w:val="24"/>
              </w:rPr>
              <w:t xml:space="preserve">Nazwa komponentu </w:t>
            </w:r>
            <w:r>
              <w:rPr>
                <w:sz w:val="24"/>
              </w:rPr>
              <w:t xml:space="preserve"> </w:t>
            </w:r>
          </w:p>
        </w:tc>
        <w:tc>
          <w:tcPr>
            <w:tcW w:w="4967" w:type="dxa"/>
            <w:tcBorders>
              <w:top w:val="single" w:sz="4" w:space="0" w:color="000000"/>
              <w:left w:val="single" w:sz="4" w:space="0" w:color="000000"/>
              <w:bottom w:val="single" w:sz="4" w:space="0" w:color="000000"/>
              <w:right w:val="single" w:sz="4" w:space="0" w:color="000000"/>
            </w:tcBorders>
            <w:vAlign w:val="bottom"/>
          </w:tcPr>
          <w:p w14:paraId="44600517" w14:textId="77777777" w:rsidR="00D84F5E" w:rsidRDefault="00000000">
            <w:r>
              <w:rPr>
                <w:b/>
                <w:sz w:val="24"/>
              </w:rPr>
              <w:t xml:space="preserve">Wymagane minimalne parametry techniczne monitora </w:t>
            </w:r>
            <w:r>
              <w:rPr>
                <w:sz w:val="24"/>
              </w:rPr>
              <w:t xml:space="preserve"> </w:t>
            </w:r>
          </w:p>
        </w:tc>
      </w:tr>
      <w:tr w:rsidR="00D84F5E" w14:paraId="2CD8A47A" w14:textId="77777777" w:rsidTr="00FB4A72">
        <w:tc>
          <w:tcPr>
            <w:tcW w:w="487" w:type="dxa"/>
            <w:tcBorders>
              <w:top w:val="single" w:sz="4" w:space="0" w:color="000000"/>
              <w:left w:val="single" w:sz="4" w:space="0" w:color="000000"/>
              <w:bottom w:val="single" w:sz="4" w:space="0" w:color="000000"/>
              <w:right w:val="single" w:sz="4" w:space="0" w:color="000000"/>
            </w:tcBorders>
          </w:tcPr>
          <w:p w14:paraId="2A9BEA7B" w14:textId="77777777" w:rsidR="00D84F5E" w:rsidRDefault="00000000">
            <w:r>
              <w:rPr>
                <w:sz w:val="24"/>
              </w:rPr>
              <w:t xml:space="preserve">1.  </w:t>
            </w:r>
          </w:p>
        </w:tc>
        <w:tc>
          <w:tcPr>
            <w:tcW w:w="4042" w:type="dxa"/>
            <w:tcBorders>
              <w:top w:val="single" w:sz="4" w:space="0" w:color="000000"/>
              <w:left w:val="single" w:sz="4" w:space="0" w:color="000000"/>
              <w:bottom w:val="single" w:sz="4" w:space="0" w:color="000000"/>
              <w:right w:val="single" w:sz="4" w:space="0" w:color="000000"/>
            </w:tcBorders>
          </w:tcPr>
          <w:p w14:paraId="3A7F4CFF" w14:textId="77777777" w:rsidR="00D84F5E" w:rsidRDefault="00000000">
            <w:r>
              <w:rPr>
                <w:sz w:val="24"/>
              </w:rPr>
              <w:t xml:space="preserve">Typ matrycy  </w:t>
            </w:r>
          </w:p>
        </w:tc>
        <w:tc>
          <w:tcPr>
            <w:tcW w:w="4967" w:type="dxa"/>
            <w:tcBorders>
              <w:top w:val="single" w:sz="4" w:space="0" w:color="000000"/>
              <w:left w:val="single" w:sz="4" w:space="0" w:color="000000"/>
              <w:bottom w:val="single" w:sz="4" w:space="0" w:color="000000"/>
              <w:right w:val="single" w:sz="4" w:space="0" w:color="000000"/>
            </w:tcBorders>
            <w:vAlign w:val="bottom"/>
          </w:tcPr>
          <w:p w14:paraId="40B9A416" w14:textId="77777777" w:rsidR="00D84F5E" w:rsidRDefault="00000000">
            <w:r>
              <w:rPr>
                <w:sz w:val="24"/>
              </w:rPr>
              <w:t xml:space="preserve">Ekran ciekłokrystaliczny IPS – 27 cali, proporcje 16:9  </w:t>
            </w:r>
          </w:p>
        </w:tc>
      </w:tr>
      <w:tr w:rsidR="00D84F5E" w14:paraId="2C18F46E" w14:textId="77777777" w:rsidTr="00FB4A72">
        <w:tc>
          <w:tcPr>
            <w:tcW w:w="487" w:type="dxa"/>
            <w:tcBorders>
              <w:top w:val="single" w:sz="4" w:space="0" w:color="000000"/>
              <w:left w:val="single" w:sz="4" w:space="0" w:color="000000"/>
              <w:bottom w:val="single" w:sz="4" w:space="0" w:color="000000"/>
              <w:right w:val="single" w:sz="4" w:space="0" w:color="000000"/>
            </w:tcBorders>
          </w:tcPr>
          <w:p w14:paraId="0E2AB6E9" w14:textId="77777777" w:rsidR="00D84F5E" w:rsidRDefault="00000000">
            <w:r>
              <w:rPr>
                <w:sz w:val="24"/>
              </w:rPr>
              <w:t xml:space="preserve">2.  </w:t>
            </w:r>
          </w:p>
        </w:tc>
        <w:tc>
          <w:tcPr>
            <w:tcW w:w="4042" w:type="dxa"/>
            <w:tcBorders>
              <w:top w:val="single" w:sz="4" w:space="0" w:color="000000"/>
              <w:left w:val="single" w:sz="4" w:space="0" w:color="000000"/>
              <w:bottom w:val="single" w:sz="4" w:space="0" w:color="000000"/>
              <w:right w:val="single" w:sz="4" w:space="0" w:color="000000"/>
            </w:tcBorders>
          </w:tcPr>
          <w:p w14:paraId="17B7D347" w14:textId="77777777" w:rsidR="00D84F5E" w:rsidRDefault="00000000">
            <w:r>
              <w:rPr>
                <w:sz w:val="24"/>
              </w:rPr>
              <w:t xml:space="preserve">Jasność  </w:t>
            </w:r>
          </w:p>
        </w:tc>
        <w:tc>
          <w:tcPr>
            <w:tcW w:w="4967" w:type="dxa"/>
            <w:tcBorders>
              <w:top w:val="single" w:sz="4" w:space="0" w:color="000000"/>
              <w:left w:val="single" w:sz="4" w:space="0" w:color="000000"/>
              <w:bottom w:val="single" w:sz="4" w:space="0" w:color="000000"/>
              <w:right w:val="single" w:sz="4" w:space="0" w:color="000000"/>
            </w:tcBorders>
          </w:tcPr>
          <w:p w14:paraId="0230FAFA" w14:textId="77777777" w:rsidR="00D84F5E" w:rsidRDefault="00000000">
            <w:r>
              <w:rPr>
                <w:sz w:val="24"/>
              </w:rPr>
              <w:t xml:space="preserve">300 cd/m2  </w:t>
            </w:r>
          </w:p>
        </w:tc>
      </w:tr>
      <w:tr w:rsidR="00D84F5E" w14:paraId="04358370" w14:textId="77777777" w:rsidTr="00FB4A72">
        <w:tc>
          <w:tcPr>
            <w:tcW w:w="487" w:type="dxa"/>
            <w:tcBorders>
              <w:top w:val="single" w:sz="4" w:space="0" w:color="000000"/>
              <w:left w:val="single" w:sz="4" w:space="0" w:color="000000"/>
              <w:bottom w:val="single" w:sz="4" w:space="0" w:color="000000"/>
              <w:right w:val="single" w:sz="4" w:space="0" w:color="000000"/>
            </w:tcBorders>
            <w:vAlign w:val="bottom"/>
          </w:tcPr>
          <w:p w14:paraId="5465EEDD" w14:textId="77777777" w:rsidR="00D84F5E" w:rsidRDefault="00000000">
            <w:r>
              <w:rPr>
                <w:sz w:val="24"/>
              </w:rPr>
              <w:t xml:space="preserve">3.  </w:t>
            </w:r>
          </w:p>
        </w:tc>
        <w:tc>
          <w:tcPr>
            <w:tcW w:w="4042" w:type="dxa"/>
            <w:tcBorders>
              <w:top w:val="single" w:sz="4" w:space="0" w:color="000000"/>
              <w:left w:val="single" w:sz="4" w:space="0" w:color="000000"/>
              <w:bottom w:val="single" w:sz="4" w:space="0" w:color="000000"/>
              <w:right w:val="single" w:sz="4" w:space="0" w:color="000000"/>
            </w:tcBorders>
            <w:vAlign w:val="bottom"/>
          </w:tcPr>
          <w:p w14:paraId="65896907" w14:textId="77777777" w:rsidR="00D84F5E" w:rsidRDefault="00000000">
            <w:r>
              <w:rPr>
                <w:sz w:val="24"/>
              </w:rPr>
              <w:t xml:space="preserve">Kontrast  </w:t>
            </w:r>
          </w:p>
        </w:tc>
        <w:tc>
          <w:tcPr>
            <w:tcW w:w="4967" w:type="dxa"/>
            <w:tcBorders>
              <w:top w:val="single" w:sz="4" w:space="0" w:color="000000"/>
              <w:left w:val="single" w:sz="4" w:space="0" w:color="000000"/>
              <w:bottom w:val="single" w:sz="4" w:space="0" w:color="000000"/>
              <w:right w:val="single" w:sz="4" w:space="0" w:color="000000"/>
            </w:tcBorders>
            <w:vAlign w:val="bottom"/>
          </w:tcPr>
          <w:p w14:paraId="638F1C17" w14:textId="77777777" w:rsidR="00D84F5E" w:rsidRDefault="00000000">
            <w:r>
              <w:rPr>
                <w:sz w:val="24"/>
              </w:rPr>
              <w:t xml:space="preserve">1000:1  </w:t>
            </w:r>
          </w:p>
        </w:tc>
      </w:tr>
      <w:tr w:rsidR="00D84F5E" w14:paraId="44D5BEDE" w14:textId="77777777" w:rsidTr="00FB4A72">
        <w:tc>
          <w:tcPr>
            <w:tcW w:w="487" w:type="dxa"/>
            <w:tcBorders>
              <w:top w:val="single" w:sz="4" w:space="0" w:color="000000"/>
              <w:left w:val="single" w:sz="4" w:space="0" w:color="000000"/>
              <w:bottom w:val="single" w:sz="4" w:space="0" w:color="000000"/>
              <w:right w:val="single" w:sz="4" w:space="0" w:color="000000"/>
            </w:tcBorders>
            <w:vAlign w:val="bottom"/>
          </w:tcPr>
          <w:p w14:paraId="14001471" w14:textId="77777777" w:rsidR="00D84F5E" w:rsidRDefault="00000000">
            <w:r>
              <w:rPr>
                <w:sz w:val="24"/>
              </w:rPr>
              <w:t xml:space="preserve">4.  </w:t>
            </w:r>
          </w:p>
        </w:tc>
        <w:tc>
          <w:tcPr>
            <w:tcW w:w="4042" w:type="dxa"/>
            <w:tcBorders>
              <w:top w:val="single" w:sz="4" w:space="0" w:color="000000"/>
              <w:left w:val="single" w:sz="4" w:space="0" w:color="000000"/>
              <w:bottom w:val="single" w:sz="4" w:space="0" w:color="000000"/>
              <w:right w:val="single" w:sz="4" w:space="0" w:color="000000"/>
            </w:tcBorders>
            <w:vAlign w:val="bottom"/>
          </w:tcPr>
          <w:p w14:paraId="621CE1BB" w14:textId="77777777" w:rsidR="00D84F5E" w:rsidRDefault="00000000">
            <w:r>
              <w:rPr>
                <w:sz w:val="24"/>
              </w:rPr>
              <w:t xml:space="preserve">Kąty widzenia (pion/poziom)  </w:t>
            </w:r>
          </w:p>
        </w:tc>
        <w:tc>
          <w:tcPr>
            <w:tcW w:w="4967" w:type="dxa"/>
            <w:tcBorders>
              <w:top w:val="single" w:sz="4" w:space="0" w:color="000000"/>
              <w:left w:val="single" w:sz="4" w:space="0" w:color="000000"/>
              <w:bottom w:val="single" w:sz="4" w:space="0" w:color="000000"/>
              <w:right w:val="single" w:sz="4" w:space="0" w:color="000000"/>
            </w:tcBorders>
            <w:vAlign w:val="bottom"/>
          </w:tcPr>
          <w:p w14:paraId="090CA2FF" w14:textId="77777777" w:rsidR="00D84F5E" w:rsidRDefault="00000000">
            <w:r>
              <w:rPr>
                <w:sz w:val="24"/>
              </w:rPr>
              <w:t xml:space="preserve">175/175 stopni  </w:t>
            </w:r>
          </w:p>
        </w:tc>
      </w:tr>
      <w:tr w:rsidR="00D84F5E" w14:paraId="4EE631B1" w14:textId="77777777" w:rsidTr="00FB4A72">
        <w:tc>
          <w:tcPr>
            <w:tcW w:w="487" w:type="dxa"/>
            <w:tcBorders>
              <w:top w:val="single" w:sz="4" w:space="0" w:color="000000"/>
              <w:left w:val="single" w:sz="4" w:space="0" w:color="000000"/>
              <w:bottom w:val="single" w:sz="4" w:space="0" w:color="000000"/>
              <w:right w:val="single" w:sz="4" w:space="0" w:color="000000"/>
            </w:tcBorders>
            <w:vAlign w:val="bottom"/>
          </w:tcPr>
          <w:p w14:paraId="57082742" w14:textId="77777777" w:rsidR="00D84F5E" w:rsidRDefault="00000000">
            <w:r>
              <w:rPr>
                <w:sz w:val="24"/>
              </w:rPr>
              <w:t xml:space="preserve">5.  </w:t>
            </w:r>
          </w:p>
        </w:tc>
        <w:tc>
          <w:tcPr>
            <w:tcW w:w="4042" w:type="dxa"/>
            <w:tcBorders>
              <w:top w:val="single" w:sz="4" w:space="0" w:color="000000"/>
              <w:left w:val="single" w:sz="4" w:space="0" w:color="000000"/>
              <w:bottom w:val="single" w:sz="4" w:space="0" w:color="000000"/>
              <w:right w:val="single" w:sz="4" w:space="0" w:color="000000"/>
            </w:tcBorders>
            <w:vAlign w:val="bottom"/>
          </w:tcPr>
          <w:p w14:paraId="6ED6FC4B" w14:textId="77777777" w:rsidR="00D84F5E" w:rsidRDefault="00000000">
            <w:r>
              <w:rPr>
                <w:sz w:val="24"/>
              </w:rPr>
              <w:t xml:space="preserve">Czas reakcji matrycy  </w:t>
            </w:r>
          </w:p>
        </w:tc>
        <w:tc>
          <w:tcPr>
            <w:tcW w:w="4967" w:type="dxa"/>
            <w:tcBorders>
              <w:top w:val="single" w:sz="4" w:space="0" w:color="000000"/>
              <w:left w:val="single" w:sz="4" w:space="0" w:color="000000"/>
              <w:bottom w:val="single" w:sz="4" w:space="0" w:color="000000"/>
              <w:right w:val="single" w:sz="4" w:space="0" w:color="000000"/>
            </w:tcBorders>
            <w:vAlign w:val="bottom"/>
          </w:tcPr>
          <w:p w14:paraId="4899C9F9" w14:textId="77777777" w:rsidR="00D84F5E" w:rsidRDefault="00000000">
            <w:r>
              <w:rPr>
                <w:sz w:val="24"/>
              </w:rPr>
              <w:t xml:space="preserve">max 8 ms  </w:t>
            </w:r>
          </w:p>
        </w:tc>
      </w:tr>
      <w:tr w:rsidR="00D84F5E" w14:paraId="2AE64B6D" w14:textId="77777777" w:rsidTr="00FB4A72">
        <w:tc>
          <w:tcPr>
            <w:tcW w:w="487" w:type="dxa"/>
            <w:tcBorders>
              <w:top w:val="single" w:sz="4" w:space="0" w:color="000000"/>
              <w:left w:val="single" w:sz="4" w:space="0" w:color="000000"/>
              <w:bottom w:val="single" w:sz="4" w:space="0" w:color="000000"/>
              <w:right w:val="single" w:sz="4" w:space="0" w:color="000000"/>
            </w:tcBorders>
            <w:vAlign w:val="bottom"/>
          </w:tcPr>
          <w:p w14:paraId="700D4424" w14:textId="77777777" w:rsidR="00D84F5E" w:rsidRDefault="00000000">
            <w:r>
              <w:rPr>
                <w:sz w:val="24"/>
              </w:rPr>
              <w:t xml:space="preserve">6.  </w:t>
            </w:r>
          </w:p>
        </w:tc>
        <w:tc>
          <w:tcPr>
            <w:tcW w:w="4042" w:type="dxa"/>
            <w:tcBorders>
              <w:top w:val="single" w:sz="4" w:space="0" w:color="000000"/>
              <w:left w:val="single" w:sz="4" w:space="0" w:color="000000"/>
              <w:bottom w:val="single" w:sz="4" w:space="0" w:color="000000"/>
              <w:right w:val="single" w:sz="4" w:space="0" w:color="000000"/>
            </w:tcBorders>
            <w:vAlign w:val="bottom"/>
          </w:tcPr>
          <w:p w14:paraId="47FC080C" w14:textId="77777777" w:rsidR="00D84F5E" w:rsidRDefault="00000000">
            <w:r>
              <w:rPr>
                <w:sz w:val="24"/>
              </w:rPr>
              <w:t xml:space="preserve">Rozdzielczość podstawowa (natywna): </w:t>
            </w:r>
          </w:p>
        </w:tc>
        <w:tc>
          <w:tcPr>
            <w:tcW w:w="4967" w:type="dxa"/>
            <w:tcBorders>
              <w:top w:val="single" w:sz="4" w:space="0" w:color="000000"/>
              <w:left w:val="single" w:sz="4" w:space="0" w:color="000000"/>
              <w:bottom w:val="single" w:sz="4" w:space="0" w:color="000000"/>
              <w:right w:val="single" w:sz="4" w:space="0" w:color="000000"/>
            </w:tcBorders>
            <w:vAlign w:val="bottom"/>
          </w:tcPr>
          <w:p w14:paraId="2ACD8EA6" w14:textId="77777777" w:rsidR="00D84F5E" w:rsidRDefault="00000000">
            <w:r>
              <w:rPr>
                <w:sz w:val="24"/>
              </w:rPr>
              <w:t xml:space="preserve">1920 × 1080 przy 60Hz </w:t>
            </w:r>
          </w:p>
        </w:tc>
      </w:tr>
      <w:tr w:rsidR="00D84F5E" w14:paraId="7B80ED7C" w14:textId="77777777" w:rsidTr="00FB4A72">
        <w:tc>
          <w:tcPr>
            <w:tcW w:w="487" w:type="dxa"/>
            <w:tcBorders>
              <w:top w:val="single" w:sz="4" w:space="0" w:color="000000"/>
              <w:left w:val="single" w:sz="4" w:space="0" w:color="000000"/>
              <w:bottom w:val="single" w:sz="4" w:space="0" w:color="000000"/>
              <w:right w:val="single" w:sz="4" w:space="0" w:color="000000"/>
            </w:tcBorders>
          </w:tcPr>
          <w:p w14:paraId="5FE85542" w14:textId="77777777" w:rsidR="00D84F5E" w:rsidRDefault="00000000">
            <w:r>
              <w:rPr>
                <w:sz w:val="24"/>
              </w:rPr>
              <w:t xml:space="preserve">7.  </w:t>
            </w:r>
          </w:p>
        </w:tc>
        <w:tc>
          <w:tcPr>
            <w:tcW w:w="4042" w:type="dxa"/>
            <w:tcBorders>
              <w:top w:val="single" w:sz="4" w:space="0" w:color="000000"/>
              <w:left w:val="single" w:sz="4" w:space="0" w:color="000000"/>
              <w:bottom w:val="single" w:sz="4" w:space="0" w:color="000000"/>
              <w:right w:val="single" w:sz="4" w:space="0" w:color="000000"/>
            </w:tcBorders>
          </w:tcPr>
          <w:p w14:paraId="6F1BBBCF" w14:textId="77777777" w:rsidR="00D84F5E" w:rsidRDefault="00000000">
            <w:r>
              <w:rPr>
                <w:sz w:val="24"/>
              </w:rPr>
              <w:t xml:space="preserve">Regulowana pozycja monitora  </w:t>
            </w:r>
          </w:p>
        </w:tc>
        <w:tc>
          <w:tcPr>
            <w:tcW w:w="4967" w:type="dxa"/>
            <w:tcBorders>
              <w:top w:val="single" w:sz="4" w:space="0" w:color="000000"/>
              <w:left w:val="single" w:sz="4" w:space="0" w:color="000000"/>
              <w:bottom w:val="single" w:sz="4" w:space="0" w:color="000000"/>
              <w:right w:val="single" w:sz="4" w:space="0" w:color="000000"/>
            </w:tcBorders>
            <w:vAlign w:val="bottom"/>
          </w:tcPr>
          <w:p w14:paraId="1600F78D" w14:textId="77777777" w:rsidR="00D84F5E" w:rsidRDefault="00000000">
            <w:r>
              <w:rPr>
                <w:sz w:val="24"/>
              </w:rPr>
              <w:t xml:space="preserve">Podstawa o regulowanej wysokości (130 mm),  </w:t>
            </w:r>
          </w:p>
          <w:p w14:paraId="3E259FBC" w14:textId="77777777" w:rsidR="00D84F5E" w:rsidRDefault="00000000">
            <w:r>
              <w:rPr>
                <w:sz w:val="24"/>
              </w:rPr>
              <w:t xml:space="preserve">Pochylenie (od -5° do 20°)  </w:t>
            </w:r>
          </w:p>
          <w:p w14:paraId="446DBC06" w14:textId="77777777" w:rsidR="00D84F5E" w:rsidRDefault="00000000">
            <w:r>
              <w:rPr>
                <w:sz w:val="24"/>
              </w:rPr>
              <w:t xml:space="preserve">Obracanie w poziomie (od -45° do 45°)  </w:t>
            </w:r>
          </w:p>
          <w:p w14:paraId="40D30C05" w14:textId="77777777" w:rsidR="00D84F5E" w:rsidRDefault="00000000">
            <w:r>
              <w:rPr>
                <w:sz w:val="24"/>
              </w:rPr>
              <w:t xml:space="preserve">Obracanie w pionie (od -90° do 90°)  </w:t>
            </w:r>
          </w:p>
        </w:tc>
      </w:tr>
      <w:tr w:rsidR="00D84F5E" w14:paraId="3C3E2B86" w14:textId="77777777" w:rsidTr="00FB4A72">
        <w:tc>
          <w:tcPr>
            <w:tcW w:w="487" w:type="dxa"/>
            <w:tcBorders>
              <w:top w:val="single" w:sz="4" w:space="0" w:color="000000"/>
              <w:left w:val="single" w:sz="4" w:space="0" w:color="000000"/>
              <w:bottom w:val="single" w:sz="4" w:space="0" w:color="000000"/>
              <w:right w:val="single" w:sz="4" w:space="0" w:color="000000"/>
            </w:tcBorders>
          </w:tcPr>
          <w:p w14:paraId="1C23ADCD" w14:textId="77777777" w:rsidR="00D84F5E" w:rsidRDefault="00000000">
            <w:r>
              <w:rPr>
                <w:sz w:val="24"/>
              </w:rPr>
              <w:t xml:space="preserve">8.  </w:t>
            </w:r>
          </w:p>
        </w:tc>
        <w:tc>
          <w:tcPr>
            <w:tcW w:w="4042" w:type="dxa"/>
            <w:tcBorders>
              <w:top w:val="single" w:sz="4" w:space="0" w:color="000000"/>
              <w:left w:val="single" w:sz="4" w:space="0" w:color="000000"/>
              <w:bottom w:val="single" w:sz="4" w:space="0" w:color="000000"/>
              <w:right w:val="single" w:sz="4" w:space="0" w:color="000000"/>
            </w:tcBorders>
          </w:tcPr>
          <w:p w14:paraId="1FCF5FC6" w14:textId="77777777" w:rsidR="00D84F5E" w:rsidRDefault="00000000">
            <w:r>
              <w:rPr>
                <w:sz w:val="24"/>
              </w:rPr>
              <w:t xml:space="preserve">Odwzorowanie kolorów </w:t>
            </w:r>
          </w:p>
        </w:tc>
        <w:tc>
          <w:tcPr>
            <w:tcW w:w="4967" w:type="dxa"/>
            <w:tcBorders>
              <w:top w:val="single" w:sz="4" w:space="0" w:color="000000"/>
              <w:left w:val="single" w:sz="4" w:space="0" w:color="000000"/>
              <w:bottom w:val="single" w:sz="4" w:space="0" w:color="000000"/>
              <w:right w:val="single" w:sz="4" w:space="0" w:color="000000"/>
            </w:tcBorders>
            <w:vAlign w:val="bottom"/>
          </w:tcPr>
          <w:p w14:paraId="719A01A6" w14:textId="77777777" w:rsidR="00D84F5E" w:rsidRDefault="00000000">
            <w:pPr>
              <w:ind w:right="18"/>
            </w:pPr>
            <w:r>
              <w:rPr>
                <w:sz w:val="24"/>
              </w:rPr>
              <w:t xml:space="preserve">Gama barw (standardowo): 70% (CIE1931)  Głębia kolorów: 16,7 miliona kolorów  </w:t>
            </w:r>
          </w:p>
        </w:tc>
      </w:tr>
      <w:tr w:rsidR="00D84F5E" w14:paraId="47A63B79" w14:textId="77777777" w:rsidTr="00FB4A72">
        <w:tc>
          <w:tcPr>
            <w:tcW w:w="487" w:type="dxa"/>
            <w:tcBorders>
              <w:top w:val="single" w:sz="4" w:space="0" w:color="000000"/>
              <w:left w:val="single" w:sz="4" w:space="0" w:color="000000"/>
              <w:bottom w:val="single" w:sz="4" w:space="0" w:color="000000"/>
              <w:right w:val="single" w:sz="4" w:space="0" w:color="000000"/>
            </w:tcBorders>
          </w:tcPr>
          <w:p w14:paraId="38189503" w14:textId="77777777" w:rsidR="00D84F5E" w:rsidRDefault="00000000">
            <w:r>
              <w:rPr>
                <w:sz w:val="24"/>
              </w:rPr>
              <w:t xml:space="preserve">9.  </w:t>
            </w:r>
          </w:p>
        </w:tc>
        <w:tc>
          <w:tcPr>
            <w:tcW w:w="4042" w:type="dxa"/>
            <w:tcBorders>
              <w:top w:val="single" w:sz="4" w:space="0" w:color="000000"/>
              <w:left w:val="single" w:sz="4" w:space="0" w:color="000000"/>
              <w:bottom w:val="single" w:sz="4" w:space="0" w:color="000000"/>
              <w:right w:val="single" w:sz="4" w:space="0" w:color="000000"/>
            </w:tcBorders>
            <w:vAlign w:val="bottom"/>
          </w:tcPr>
          <w:p w14:paraId="22196C0F" w14:textId="77777777" w:rsidR="00D84F5E" w:rsidRDefault="00000000">
            <w:r>
              <w:rPr>
                <w:sz w:val="24"/>
              </w:rPr>
              <w:t xml:space="preserve">Pobór mocy w trybie gotowości i uśpienia  </w:t>
            </w:r>
          </w:p>
        </w:tc>
        <w:tc>
          <w:tcPr>
            <w:tcW w:w="4967" w:type="dxa"/>
            <w:tcBorders>
              <w:top w:val="single" w:sz="4" w:space="0" w:color="000000"/>
              <w:left w:val="single" w:sz="4" w:space="0" w:color="000000"/>
              <w:bottom w:val="single" w:sz="4" w:space="0" w:color="000000"/>
              <w:right w:val="single" w:sz="4" w:space="0" w:color="000000"/>
            </w:tcBorders>
          </w:tcPr>
          <w:p w14:paraId="4453385E" w14:textId="77777777" w:rsidR="00D84F5E" w:rsidRDefault="00000000">
            <w:r>
              <w:rPr>
                <w:sz w:val="24"/>
              </w:rPr>
              <w:t xml:space="preserve">Poniżej 0,5 W  </w:t>
            </w:r>
          </w:p>
        </w:tc>
      </w:tr>
      <w:tr w:rsidR="00D84F5E" w14:paraId="693F60A0" w14:textId="77777777" w:rsidTr="00FB4A72">
        <w:tc>
          <w:tcPr>
            <w:tcW w:w="487" w:type="dxa"/>
            <w:tcBorders>
              <w:top w:val="single" w:sz="4" w:space="0" w:color="000000"/>
              <w:left w:val="single" w:sz="4" w:space="0" w:color="000000"/>
              <w:bottom w:val="single" w:sz="4" w:space="0" w:color="000000"/>
              <w:right w:val="single" w:sz="4" w:space="0" w:color="000000"/>
            </w:tcBorders>
            <w:vAlign w:val="bottom"/>
          </w:tcPr>
          <w:p w14:paraId="4F447C2E" w14:textId="77777777" w:rsidR="00D84F5E" w:rsidRDefault="00000000">
            <w:pPr>
              <w:jc w:val="both"/>
            </w:pPr>
            <w:r>
              <w:rPr>
                <w:sz w:val="24"/>
              </w:rPr>
              <w:t xml:space="preserve">10.  </w:t>
            </w:r>
          </w:p>
        </w:tc>
        <w:tc>
          <w:tcPr>
            <w:tcW w:w="4042" w:type="dxa"/>
            <w:tcBorders>
              <w:top w:val="single" w:sz="4" w:space="0" w:color="000000"/>
              <w:left w:val="single" w:sz="4" w:space="0" w:color="000000"/>
              <w:bottom w:val="single" w:sz="4" w:space="0" w:color="000000"/>
              <w:right w:val="single" w:sz="4" w:space="0" w:color="000000"/>
            </w:tcBorders>
            <w:vAlign w:val="bottom"/>
          </w:tcPr>
          <w:p w14:paraId="115CC7C8" w14:textId="77777777" w:rsidR="00D84F5E" w:rsidRDefault="00000000">
            <w:r>
              <w:rPr>
                <w:sz w:val="24"/>
              </w:rPr>
              <w:t xml:space="preserve">PIVOT  </w:t>
            </w:r>
          </w:p>
        </w:tc>
        <w:tc>
          <w:tcPr>
            <w:tcW w:w="4967" w:type="dxa"/>
            <w:tcBorders>
              <w:top w:val="single" w:sz="4" w:space="0" w:color="000000"/>
              <w:left w:val="single" w:sz="4" w:space="0" w:color="000000"/>
              <w:bottom w:val="single" w:sz="4" w:space="0" w:color="000000"/>
              <w:right w:val="single" w:sz="4" w:space="0" w:color="000000"/>
            </w:tcBorders>
            <w:vAlign w:val="bottom"/>
          </w:tcPr>
          <w:p w14:paraId="2F68F9AE" w14:textId="77777777" w:rsidR="00D84F5E" w:rsidRDefault="00000000">
            <w:r>
              <w:rPr>
                <w:sz w:val="24"/>
              </w:rPr>
              <w:t xml:space="preserve">Tak  </w:t>
            </w:r>
          </w:p>
        </w:tc>
      </w:tr>
      <w:tr w:rsidR="00D84F5E" w14:paraId="0FB69A61" w14:textId="77777777" w:rsidTr="00FB4A72">
        <w:tc>
          <w:tcPr>
            <w:tcW w:w="487" w:type="dxa"/>
            <w:tcBorders>
              <w:top w:val="single" w:sz="4" w:space="0" w:color="000000"/>
              <w:left w:val="single" w:sz="4" w:space="0" w:color="000000"/>
              <w:bottom w:val="single" w:sz="4" w:space="0" w:color="000000"/>
              <w:right w:val="single" w:sz="4" w:space="0" w:color="000000"/>
            </w:tcBorders>
          </w:tcPr>
          <w:p w14:paraId="3F6AC0DA" w14:textId="77777777" w:rsidR="00D84F5E" w:rsidRDefault="00000000">
            <w:pPr>
              <w:jc w:val="both"/>
            </w:pPr>
            <w:r>
              <w:rPr>
                <w:sz w:val="24"/>
              </w:rPr>
              <w:t xml:space="preserve">11.  </w:t>
            </w:r>
          </w:p>
        </w:tc>
        <w:tc>
          <w:tcPr>
            <w:tcW w:w="4042" w:type="dxa"/>
            <w:tcBorders>
              <w:top w:val="single" w:sz="4" w:space="0" w:color="000000"/>
              <w:left w:val="single" w:sz="4" w:space="0" w:color="000000"/>
              <w:bottom w:val="single" w:sz="4" w:space="0" w:color="000000"/>
              <w:right w:val="single" w:sz="4" w:space="0" w:color="000000"/>
            </w:tcBorders>
          </w:tcPr>
          <w:p w14:paraId="7D754628" w14:textId="77777777" w:rsidR="00D84F5E" w:rsidRDefault="00000000">
            <w:r>
              <w:rPr>
                <w:sz w:val="24"/>
              </w:rPr>
              <w:t xml:space="preserve">Powłoka powierzchni ekranu  </w:t>
            </w:r>
          </w:p>
        </w:tc>
        <w:tc>
          <w:tcPr>
            <w:tcW w:w="4967" w:type="dxa"/>
            <w:tcBorders>
              <w:top w:val="single" w:sz="4" w:space="0" w:color="000000"/>
              <w:left w:val="single" w:sz="4" w:space="0" w:color="000000"/>
              <w:bottom w:val="single" w:sz="4" w:space="0" w:color="000000"/>
              <w:right w:val="single" w:sz="4" w:space="0" w:color="000000"/>
            </w:tcBorders>
          </w:tcPr>
          <w:p w14:paraId="17115A01" w14:textId="77777777" w:rsidR="00D84F5E" w:rsidRDefault="00000000">
            <w:r>
              <w:rPr>
                <w:sz w:val="24"/>
              </w:rPr>
              <w:t xml:space="preserve">Przeciwodblaskowa o twardości 3H  </w:t>
            </w:r>
          </w:p>
        </w:tc>
      </w:tr>
      <w:tr w:rsidR="00D84F5E" w14:paraId="7AE60FAD" w14:textId="77777777" w:rsidTr="00FB4A72">
        <w:tc>
          <w:tcPr>
            <w:tcW w:w="487" w:type="dxa"/>
            <w:tcBorders>
              <w:top w:val="single" w:sz="4" w:space="0" w:color="000000"/>
              <w:left w:val="single" w:sz="4" w:space="0" w:color="000000"/>
              <w:bottom w:val="single" w:sz="4" w:space="0" w:color="000000"/>
              <w:right w:val="single" w:sz="4" w:space="0" w:color="000000"/>
            </w:tcBorders>
            <w:vAlign w:val="bottom"/>
          </w:tcPr>
          <w:p w14:paraId="6B4D2FB0" w14:textId="77777777" w:rsidR="00D84F5E" w:rsidRDefault="00000000">
            <w:pPr>
              <w:jc w:val="both"/>
            </w:pPr>
            <w:r>
              <w:rPr>
                <w:sz w:val="24"/>
              </w:rPr>
              <w:t xml:space="preserve">12.  </w:t>
            </w:r>
          </w:p>
        </w:tc>
        <w:tc>
          <w:tcPr>
            <w:tcW w:w="4042" w:type="dxa"/>
            <w:tcBorders>
              <w:top w:val="single" w:sz="4" w:space="0" w:color="000000"/>
              <w:left w:val="single" w:sz="4" w:space="0" w:color="000000"/>
              <w:bottom w:val="single" w:sz="4" w:space="0" w:color="000000"/>
              <w:right w:val="single" w:sz="4" w:space="0" w:color="000000"/>
            </w:tcBorders>
            <w:vAlign w:val="bottom"/>
          </w:tcPr>
          <w:p w14:paraId="0B2B527A" w14:textId="77777777" w:rsidR="00D84F5E" w:rsidRDefault="00000000">
            <w:r>
              <w:rPr>
                <w:sz w:val="24"/>
              </w:rPr>
              <w:t xml:space="preserve">Podświetlenie  </w:t>
            </w:r>
          </w:p>
        </w:tc>
        <w:tc>
          <w:tcPr>
            <w:tcW w:w="4967" w:type="dxa"/>
            <w:tcBorders>
              <w:top w:val="single" w:sz="4" w:space="0" w:color="000000"/>
              <w:left w:val="single" w:sz="4" w:space="0" w:color="000000"/>
              <w:bottom w:val="single" w:sz="4" w:space="0" w:color="000000"/>
              <w:right w:val="single" w:sz="4" w:space="0" w:color="000000"/>
            </w:tcBorders>
            <w:vAlign w:val="bottom"/>
          </w:tcPr>
          <w:p w14:paraId="1807B637" w14:textId="77777777" w:rsidR="00D84F5E" w:rsidRDefault="00000000">
            <w:r>
              <w:rPr>
                <w:sz w:val="24"/>
              </w:rPr>
              <w:t xml:space="preserve">System podświetlenia LED  </w:t>
            </w:r>
          </w:p>
        </w:tc>
      </w:tr>
      <w:tr w:rsidR="00D84F5E" w14:paraId="2AB7493F" w14:textId="77777777" w:rsidTr="00FB4A72">
        <w:tc>
          <w:tcPr>
            <w:tcW w:w="487" w:type="dxa"/>
            <w:tcBorders>
              <w:top w:val="single" w:sz="4" w:space="0" w:color="000000"/>
              <w:left w:val="single" w:sz="4" w:space="0" w:color="000000"/>
              <w:bottom w:val="single" w:sz="4" w:space="0" w:color="000000"/>
              <w:right w:val="single" w:sz="4" w:space="0" w:color="000000"/>
            </w:tcBorders>
          </w:tcPr>
          <w:p w14:paraId="66F46CC9" w14:textId="77777777" w:rsidR="00D84F5E" w:rsidRDefault="00000000">
            <w:pPr>
              <w:jc w:val="both"/>
            </w:pPr>
            <w:r>
              <w:rPr>
                <w:sz w:val="24"/>
              </w:rPr>
              <w:t xml:space="preserve">13.  </w:t>
            </w:r>
          </w:p>
        </w:tc>
        <w:tc>
          <w:tcPr>
            <w:tcW w:w="4042" w:type="dxa"/>
            <w:tcBorders>
              <w:top w:val="single" w:sz="4" w:space="0" w:color="000000"/>
              <w:left w:val="single" w:sz="4" w:space="0" w:color="000000"/>
              <w:bottom w:val="single" w:sz="4" w:space="0" w:color="000000"/>
              <w:right w:val="single" w:sz="4" w:space="0" w:color="000000"/>
            </w:tcBorders>
          </w:tcPr>
          <w:p w14:paraId="49FE4E7C" w14:textId="77777777" w:rsidR="00D84F5E" w:rsidRDefault="00000000">
            <w:r>
              <w:rPr>
                <w:sz w:val="24"/>
              </w:rPr>
              <w:t xml:space="preserve">Bezpieczeństwo  </w:t>
            </w:r>
          </w:p>
        </w:tc>
        <w:tc>
          <w:tcPr>
            <w:tcW w:w="4967" w:type="dxa"/>
            <w:tcBorders>
              <w:top w:val="single" w:sz="4" w:space="0" w:color="000000"/>
              <w:left w:val="single" w:sz="4" w:space="0" w:color="000000"/>
              <w:bottom w:val="single" w:sz="4" w:space="0" w:color="000000"/>
              <w:right w:val="single" w:sz="4" w:space="0" w:color="000000"/>
            </w:tcBorders>
            <w:vAlign w:val="bottom"/>
          </w:tcPr>
          <w:p w14:paraId="3C15C15D" w14:textId="77777777" w:rsidR="00D84F5E" w:rsidRDefault="00000000">
            <w:pPr>
              <w:jc w:val="both"/>
            </w:pPr>
            <w:r>
              <w:rPr>
                <w:sz w:val="24"/>
              </w:rPr>
              <w:t xml:space="preserve">Monitor musi być wyposażony w tzw. Kensington </w:t>
            </w:r>
          </w:p>
          <w:p w14:paraId="29A7F037" w14:textId="77777777" w:rsidR="00D84F5E" w:rsidRDefault="00000000">
            <w:r>
              <w:rPr>
                <w:sz w:val="24"/>
              </w:rPr>
              <w:t xml:space="preserve">Slot  </w:t>
            </w:r>
          </w:p>
        </w:tc>
      </w:tr>
      <w:tr w:rsidR="00D84F5E" w14:paraId="041AA1A5" w14:textId="77777777" w:rsidTr="00FB4A72">
        <w:tc>
          <w:tcPr>
            <w:tcW w:w="487" w:type="dxa"/>
            <w:tcBorders>
              <w:top w:val="single" w:sz="4" w:space="0" w:color="000000"/>
              <w:left w:val="single" w:sz="4" w:space="0" w:color="000000"/>
              <w:bottom w:val="single" w:sz="4" w:space="0" w:color="000000"/>
              <w:right w:val="single" w:sz="4" w:space="0" w:color="000000"/>
            </w:tcBorders>
          </w:tcPr>
          <w:p w14:paraId="5481B281" w14:textId="77777777" w:rsidR="00D84F5E" w:rsidRDefault="00000000">
            <w:pPr>
              <w:jc w:val="both"/>
            </w:pPr>
            <w:r>
              <w:rPr>
                <w:sz w:val="24"/>
              </w:rPr>
              <w:t xml:space="preserve">14.  </w:t>
            </w:r>
          </w:p>
        </w:tc>
        <w:tc>
          <w:tcPr>
            <w:tcW w:w="4042" w:type="dxa"/>
            <w:tcBorders>
              <w:top w:val="single" w:sz="4" w:space="0" w:color="000000"/>
              <w:left w:val="single" w:sz="4" w:space="0" w:color="000000"/>
              <w:bottom w:val="single" w:sz="4" w:space="0" w:color="000000"/>
              <w:right w:val="single" w:sz="4" w:space="0" w:color="000000"/>
            </w:tcBorders>
          </w:tcPr>
          <w:p w14:paraId="0EA9D6AF" w14:textId="77777777" w:rsidR="00D84F5E" w:rsidRDefault="00000000">
            <w:r>
              <w:rPr>
                <w:sz w:val="24"/>
              </w:rPr>
              <w:t xml:space="preserve">Złącze   </w:t>
            </w:r>
          </w:p>
        </w:tc>
        <w:tc>
          <w:tcPr>
            <w:tcW w:w="4967" w:type="dxa"/>
            <w:tcBorders>
              <w:top w:val="single" w:sz="4" w:space="0" w:color="000000"/>
              <w:left w:val="single" w:sz="4" w:space="0" w:color="000000"/>
              <w:bottom w:val="single" w:sz="4" w:space="0" w:color="000000"/>
              <w:right w:val="single" w:sz="4" w:space="0" w:color="000000"/>
            </w:tcBorders>
            <w:vAlign w:val="bottom"/>
          </w:tcPr>
          <w:p w14:paraId="249DA68E" w14:textId="77777777" w:rsidR="00D84F5E" w:rsidRPr="00BC608D" w:rsidRDefault="00000000">
            <w:pPr>
              <w:rPr>
                <w:lang w:val="en-US"/>
              </w:rPr>
            </w:pPr>
            <w:r w:rsidRPr="00BC608D">
              <w:rPr>
                <w:sz w:val="24"/>
                <w:lang w:val="en-US"/>
              </w:rPr>
              <w:t xml:space="preserve">1 x port HDMI, 1 x DisplayPort,  </w:t>
            </w:r>
          </w:p>
          <w:p w14:paraId="4F0B6B27" w14:textId="77777777" w:rsidR="00D84F5E" w:rsidRDefault="00000000">
            <w:r>
              <w:rPr>
                <w:sz w:val="24"/>
              </w:rPr>
              <w:lastRenderedPageBreak/>
              <w:t xml:space="preserve">Minimum 2 porty USB 3.0  </w:t>
            </w:r>
          </w:p>
        </w:tc>
      </w:tr>
      <w:tr w:rsidR="00D84F5E" w14:paraId="4D75A580" w14:textId="77777777" w:rsidTr="00FB4A72">
        <w:tc>
          <w:tcPr>
            <w:tcW w:w="487" w:type="dxa"/>
            <w:tcBorders>
              <w:top w:val="single" w:sz="4" w:space="0" w:color="000000"/>
              <w:left w:val="single" w:sz="4" w:space="0" w:color="000000"/>
              <w:bottom w:val="single" w:sz="4" w:space="0" w:color="000000"/>
              <w:right w:val="single" w:sz="4" w:space="0" w:color="000000"/>
            </w:tcBorders>
          </w:tcPr>
          <w:p w14:paraId="0CB7EEB1" w14:textId="77777777" w:rsidR="00D84F5E" w:rsidRDefault="00000000">
            <w:pPr>
              <w:jc w:val="both"/>
            </w:pPr>
            <w:r>
              <w:rPr>
                <w:sz w:val="24"/>
              </w:rPr>
              <w:lastRenderedPageBreak/>
              <w:t xml:space="preserve">15.  </w:t>
            </w:r>
          </w:p>
        </w:tc>
        <w:tc>
          <w:tcPr>
            <w:tcW w:w="4042" w:type="dxa"/>
            <w:tcBorders>
              <w:top w:val="single" w:sz="4" w:space="0" w:color="000000"/>
              <w:left w:val="single" w:sz="4" w:space="0" w:color="000000"/>
              <w:bottom w:val="single" w:sz="4" w:space="0" w:color="000000"/>
              <w:right w:val="single" w:sz="4" w:space="0" w:color="000000"/>
            </w:tcBorders>
          </w:tcPr>
          <w:p w14:paraId="074CB52D" w14:textId="77777777" w:rsidR="00D84F5E" w:rsidRDefault="00000000">
            <w:r>
              <w:rPr>
                <w:sz w:val="24"/>
              </w:rPr>
              <w:t xml:space="preserve">Gwarancja  </w:t>
            </w:r>
          </w:p>
        </w:tc>
        <w:tc>
          <w:tcPr>
            <w:tcW w:w="4967" w:type="dxa"/>
            <w:tcBorders>
              <w:top w:val="single" w:sz="4" w:space="0" w:color="000000"/>
              <w:left w:val="single" w:sz="4" w:space="0" w:color="000000"/>
              <w:bottom w:val="single" w:sz="4" w:space="0" w:color="000000"/>
              <w:right w:val="single" w:sz="4" w:space="0" w:color="000000"/>
            </w:tcBorders>
            <w:vAlign w:val="bottom"/>
          </w:tcPr>
          <w:p w14:paraId="24CF2DA8" w14:textId="0A208894" w:rsidR="00D84F5E" w:rsidRDefault="00E32E6D">
            <w:r>
              <w:rPr>
                <w:sz w:val="24"/>
              </w:rPr>
              <w:t xml:space="preserve">Minimum 3 lata na miejscu u klienta  </w:t>
            </w:r>
          </w:p>
          <w:p w14:paraId="3B174340" w14:textId="77777777" w:rsidR="00D84F5E" w:rsidRDefault="00000000">
            <w:pPr>
              <w:ind w:right="70"/>
              <w:jc w:val="both"/>
            </w:pPr>
            <w:r>
              <w:rPr>
                <w:sz w:val="24"/>
              </w:rPr>
              <w:t xml:space="preserve">Czas reakcji serwisu - do końca następnego dnia roboczego Firma serwisująca musi posiadać ISO 9001:2008 na świadczenie usług serwisowych oraz posiadać autoryzacje producenta sprzętu.  </w:t>
            </w:r>
          </w:p>
          <w:p w14:paraId="067BB117" w14:textId="77777777" w:rsidR="00D84F5E" w:rsidRDefault="00000000">
            <w:r>
              <w:rPr>
                <w:sz w:val="24"/>
              </w:rPr>
              <w:t xml:space="preserve">Gwarancja „zero martwych pikseli”.  </w:t>
            </w:r>
          </w:p>
          <w:p w14:paraId="524573BB" w14:textId="77777777" w:rsidR="00D84F5E" w:rsidRDefault="00000000">
            <w:r>
              <w:rPr>
                <w:b/>
                <w:sz w:val="24"/>
              </w:rPr>
              <w:t xml:space="preserve">Okres gwarancji stanowi kryterium oceny ofert w tym postępowaniu, ostateczny termin gwarancji zostanie określony przez Wykonawcę w złożonej ofercie </w:t>
            </w:r>
            <w:r>
              <w:rPr>
                <w:sz w:val="24"/>
              </w:rPr>
              <w:t xml:space="preserve"> </w:t>
            </w:r>
          </w:p>
        </w:tc>
      </w:tr>
      <w:tr w:rsidR="00D84F5E" w14:paraId="234FCA29" w14:textId="77777777" w:rsidTr="00FB4A72">
        <w:tc>
          <w:tcPr>
            <w:tcW w:w="487" w:type="dxa"/>
            <w:tcBorders>
              <w:top w:val="single" w:sz="4" w:space="0" w:color="000000"/>
              <w:left w:val="single" w:sz="4" w:space="0" w:color="000000"/>
              <w:bottom w:val="single" w:sz="4" w:space="0" w:color="000000"/>
              <w:right w:val="single" w:sz="4" w:space="0" w:color="000000"/>
            </w:tcBorders>
          </w:tcPr>
          <w:p w14:paraId="355AEDCD" w14:textId="77777777" w:rsidR="00D84F5E" w:rsidRDefault="00000000">
            <w:pPr>
              <w:jc w:val="both"/>
            </w:pPr>
            <w:r>
              <w:rPr>
                <w:sz w:val="24"/>
              </w:rPr>
              <w:t xml:space="preserve">16.  </w:t>
            </w:r>
          </w:p>
        </w:tc>
        <w:tc>
          <w:tcPr>
            <w:tcW w:w="4042" w:type="dxa"/>
            <w:tcBorders>
              <w:top w:val="single" w:sz="4" w:space="0" w:color="000000"/>
              <w:left w:val="single" w:sz="4" w:space="0" w:color="000000"/>
              <w:bottom w:val="single" w:sz="4" w:space="0" w:color="000000"/>
              <w:right w:val="single" w:sz="4" w:space="0" w:color="000000"/>
            </w:tcBorders>
          </w:tcPr>
          <w:p w14:paraId="7C61A431" w14:textId="77777777" w:rsidR="00D84F5E" w:rsidRDefault="00000000">
            <w:r>
              <w:rPr>
                <w:sz w:val="24"/>
              </w:rPr>
              <w:t xml:space="preserve">Certyfikaty  </w:t>
            </w:r>
          </w:p>
        </w:tc>
        <w:tc>
          <w:tcPr>
            <w:tcW w:w="4967" w:type="dxa"/>
            <w:tcBorders>
              <w:top w:val="single" w:sz="4" w:space="0" w:color="000000"/>
              <w:left w:val="single" w:sz="4" w:space="0" w:color="000000"/>
              <w:bottom w:val="single" w:sz="4" w:space="0" w:color="000000"/>
              <w:right w:val="single" w:sz="4" w:space="0" w:color="000000"/>
            </w:tcBorders>
            <w:vAlign w:val="bottom"/>
          </w:tcPr>
          <w:p w14:paraId="48E4DA05" w14:textId="77777777" w:rsidR="00D84F5E" w:rsidRPr="00FB4A72" w:rsidRDefault="00000000">
            <w:pPr>
              <w:numPr>
                <w:ilvl w:val="0"/>
                <w:numId w:val="8"/>
              </w:numPr>
              <w:ind w:hanging="144"/>
              <w:rPr>
                <w:color w:val="auto"/>
              </w:rPr>
            </w:pPr>
            <w:r w:rsidRPr="00FB4A72">
              <w:rPr>
                <w:color w:val="auto"/>
                <w:sz w:val="24"/>
              </w:rPr>
              <w:t xml:space="preserve">Dokument potwierdzający TCO Certified Displays 8 </w:t>
            </w:r>
          </w:p>
          <w:p w14:paraId="0E8CD327" w14:textId="77777777" w:rsidR="00D84F5E" w:rsidRPr="00FB4A72" w:rsidRDefault="00000000">
            <w:pPr>
              <w:numPr>
                <w:ilvl w:val="0"/>
                <w:numId w:val="8"/>
              </w:numPr>
              <w:ind w:hanging="144"/>
              <w:rPr>
                <w:color w:val="auto"/>
              </w:rPr>
            </w:pPr>
            <w:r w:rsidRPr="00FB4A72">
              <w:rPr>
                <w:color w:val="auto"/>
                <w:sz w:val="24"/>
              </w:rPr>
              <w:t xml:space="preserve">Monitor musi posiadać certyfikat EPEAT „Złoty” (GOLD) wydany dla Polski.  </w:t>
            </w:r>
          </w:p>
          <w:p w14:paraId="4B8D30C5" w14:textId="77777777" w:rsidR="00D84F5E" w:rsidRPr="00FB4A72" w:rsidRDefault="00000000">
            <w:pPr>
              <w:numPr>
                <w:ilvl w:val="0"/>
                <w:numId w:val="8"/>
              </w:numPr>
              <w:spacing w:line="241" w:lineRule="auto"/>
              <w:ind w:hanging="144"/>
              <w:rPr>
                <w:color w:val="auto"/>
              </w:rPr>
            </w:pPr>
            <w:r w:rsidRPr="00FB4A72">
              <w:rPr>
                <w:color w:val="auto"/>
                <w:sz w:val="24"/>
              </w:rPr>
              <w:t xml:space="preserve">Wymagany wpis dotyczący oferowanego monitora w internetowym katalogu </w:t>
            </w:r>
          </w:p>
          <w:p w14:paraId="0294D8DA" w14:textId="77777777" w:rsidR="00D84F5E" w:rsidRPr="00FB4A72" w:rsidRDefault="00000000">
            <w:pPr>
              <w:ind w:left="206"/>
              <w:rPr>
                <w:color w:val="auto"/>
              </w:rPr>
            </w:pPr>
            <w:r w:rsidRPr="00FB4A72">
              <w:rPr>
                <w:color w:val="auto"/>
                <w:sz w:val="24"/>
              </w:rPr>
              <w:t xml:space="preserve">http://www.epeat.net </w:t>
            </w:r>
          </w:p>
        </w:tc>
      </w:tr>
      <w:tr w:rsidR="00D84F5E" w14:paraId="3CBFAB88" w14:textId="77777777" w:rsidTr="00FB4A72">
        <w:tc>
          <w:tcPr>
            <w:tcW w:w="487" w:type="dxa"/>
            <w:tcBorders>
              <w:top w:val="single" w:sz="4" w:space="0" w:color="000000"/>
              <w:left w:val="single" w:sz="4" w:space="0" w:color="000000"/>
              <w:bottom w:val="single" w:sz="4" w:space="0" w:color="000000"/>
              <w:right w:val="single" w:sz="4" w:space="0" w:color="000000"/>
            </w:tcBorders>
          </w:tcPr>
          <w:p w14:paraId="470B4BC2" w14:textId="77777777" w:rsidR="00D84F5E" w:rsidRDefault="00000000">
            <w:pPr>
              <w:jc w:val="both"/>
            </w:pPr>
            <w:r>
              <w:rPr>
                <w:sz w:val="24"/>
              </w:rPr>
              <w:t xml:space="preserve">17.  </w:t>
            </w:r>
          </w:p>
        </w:tc>
        <w:tc>
          <w:tcPr>
            <w:tcW w:w="4042" w:type="dxa"/>
            <w:tcBorders>
              <w:top w:val="single" w:sz="4" w:space="0" w:color="000000"/>
              <w:left w:val="single" w:sz="4" w:space="0" w:color="000000"/>
              <w:bottom w:val="single" w:sz="4" w:space="0" w:color="000000"/>
              <w:right w:val="single" w:sz="4" w:space="0" w:color="000000"/>
            </w:tcBorders>
          </w:tcPr>
          <w:p w14:paraId="17661930" w14:textId="77777777" w:rsidR="00D84F5E" w:rsidRDefault="00000000">
            <w:r>
              <w:rPr>
                <w:sz w:val="24"/>
              </w:rPr>
              <w:t xml:space="preserve">Inne  </w:t>
            </w:r>
          </w:p>
        </w:tc>
        <w:tc>
          <w:tcPr>
            <w:tcW w:w="4967" w:type="dxa"/>
            <w:tcBorders>
              <w:top w:val="single" w:sz="4" w:space="0" w:color="000000"/>
              <w:left w:val="single" w:sz="4" w:space="0" w:color="000000"/>
              <w:bottom w:val="single" w:sz="4" w:space="0" w:color="000000"/>
              <w:right w:val="single" w:sz="4" w:space="0" w:color="000000"/>
            </w:tcBorders>
            <w:vAlign w:val="bottom"/>
          </w:tcPr>
          <w:p w14:paraId="42E0F365" w14:textId="77777777" w:rsidR="00D84F5E" w:rsidRDefault="00000000">
            <w:pPr>
              <w:ind w:right="22"/>
              <w:jc w:val="both"/>
            </w:pPr>
            <w:r>
              <w:rPr>
                <w:sz w:val="24"/>
              </w:rPr>
              <w:t xml:space="preserve">Odłączana stopa monitora, możliwość regulacji wysokości ekranu monitora, wsparcie standardu VESA.  </w:t>
            </w:r>
          </w:p>
          <w:p w14:paraId="4AE642EE" w14:textId="77777777" w:rsidR="00D84F5E" w:rsidRDefault="00000000">
            <w:pPr>
              <w:jc w:val="both"/>
            </w:pPr>
            <w:r>
              <w:rPr>
                <w:sz w:val="24"/>
              </w:rPr>
              <w:t xml:space="preserve">okablowanie niezbędne do podłączenia monitora do komputera:  </w:t>
            </w:r>
          </w:p>
          <w:p w14:paraId="7EA28B1C" w14:textId="77777777" w:rsidR="00D84F5E" w:rsidRDefault="00000000">
            <w:pPr>
              <w:jc w:val="both"/>
            </w:pPr>
            <w:r>
              <w:rPr>
                <w:rFonts w:ascii="Times New Roman" w:eastAsia="Times New Roman" w:hAnsi="Times New Roman" w:cs="Times New Roman"/>
                <w:sz w:val="20"/>
              </w:rPr>
              <w:t>-</w:t>
            </w:r>
            <w:r>
              <w:rPr>
                <w:rFonts w:ascii="Arial" w:eastAsia="Arial" w:hAnsi="Arial" w:cs="Arial"/>
                <w:sz w:val="20"/>
              </w:rPr>
              <w:t xml:space="preserve"> </w:t>
            </w:r>
            <w:r>
              <w:rPr>
                <w:sz w:val="24"/>
              </w:rPr>
              <w:t xml:space="preserve">Przewód DisplayPort o długości minimum 1,5m,  </w:t>
            </w:r>
          </w:p>
        </w:tc>
      </w:tr>
    </w:tbl>
    <w:p w14:paraId="20244BB6" w14:textId="77777777" w:rsidR="00D84F5E" w:rsidRDefault="00000000">
      <w:pPr>
        <w:spacing w:after="0"/>
        <w:ind w:left="14"/>
        <w:jc w:val="both"/>
      </w:pPr>
      <w:r>
        <w:rPr>
          <w:sz w:val="24"/>
        </w:rPr>
        <w:t xml:space="preserve"> </w:t>
      </w:r>
    </w:p>
    <w:sectPr w:rsidR="00D84F5E">
      <w:headerReference w:type="even" r:id="rId14"/>
      <w:headerReference w:type="default" r:id="rId15"/>
      <w:footerReference w:type="even" r:id="rId16"/>
      <w:footerReference w:type="default" r:id="rId17"/>
      <w:headerReference w:type="first" r:id="rId18"/>
      <w:footerReference w:type="first" r:id="rId19"/>
      <w:pgSz w:w="11906" w:h="16838"/>
      <w:pgMar w:top="1592" w:right="901" w:bottom="1462" w:left="1402" w:header="756" w:footer="4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2D86" w14:textId="77777777" w:rsidR="00122CBE" w:rsidRDefault="00122CBE">
      <w:pPr>
        <w:spacing w:after="0" w:line="240" w:lineRule="auto"/>
      </w:pPr>
      <w:r>
        <w:separator/>
      </w:r>
    </w:p>
  </w:endnote>
  <w:endnote w:type="continuationSeparator" w:id="0">
    <w:p w14:paraId="4EF20A6A" w14:textId="77777777" w:rsidR="00122CBE" w:rsidRDefault="0012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E494" w14:textId="77777777" w:rsidR="00D84F5E" w:rsidRDefault="00000000">
    <w:pPr>
      <w:tabs>
        <w:tab w:val="right" w:pos="9603"/>
      </w:tabs>
      <w:spacing w:after="0"/>
    </w:pPr>
    <w:r>
      <w:rPr>
        <w:noProof/>
      </w:rPr>
      <mc:AlternateContent>
        <mc:Choice Requires="wpg">
          <w:drawing>
            <wp:anchor distT="0" distB="0" distL="114300" distR="114300" simplePos="0" relativeHeight="251658240" behindDoc="0" locked="0" layoutInCell="1" allowOverlap="1" wp14:anchorId="495FDA36" wp14:editId="7D4313A5">
              <wp:simplePos x="0" y="0"/>
              <wp:positionH relativeFrom="page">
                <wp:posOffset>880745</wp:posOffset>
              </wp:positionH>
              <wp:positionV relativeFrom="page">
                <wp:posOffset>10243820</wp:posOffset>
              </wp:positionV>
              <wp:extent cx="5798185" cy="8572"/>
              <wp:effectExtent l="0" t="0" r="0" b="0"/>
              <wp:wrapSquare wrapText="bothSides"/>
              <wp:docPr id="18342" name="Group 18342"/>
              <wp:cNvGraphicFramePr/>
              <a:graphic xmlns:a="http://schemas.openxmlformats.org/drawingml/2006/main">
                <a:graphicData uri="http://schemas.microsoft.com/office/word/2010/wordprocessingGroup">
                  <wpg:wgp>
                    <wpg:cNvGrpSpPr/>
                    <wpg:grpSpPr>
                      <a:xfrm>
                        <a:off x="0" y="0"/>
                        <a:ext cx="5798185" cy="8572"/>
                        <a:chOff x="0" y="0"/>
                        <a:chExt cx="5798185" cy="8572"/>
                      </a:xfrm>
                    </wpg:grpSpPr>
                    <wps:wsp>
                      <wps:cNvPr id="18877" name="Shape 1887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42" style="width:456.55pt;height:0.674988pt;position:absolute;mso-position-horizontal-relative:page;mso-position-horizontal:absolute;margin-left:69.35pt;mso-position-vertical-relative:page;margin-top:806.6pt;" coordsize="57981,85">
              <v:shape id="Shape 18878"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rFonts w:ascii="Arial" w:eastAsia="Arial" w:hAnsi="Arial" w:cs="Arial"/>
        <w:b/>
        <w:i/>
        <w:sz w:val="24"/>
      </w:rPr>
      <w:t xml:space="preserve"> </w:t>
    </w:r>
    <w:r>
      <w:rPr>
        <w:rFonts w:ascii="Arial" w:eastAsia="Arial" w:hAnsi="Arial" w:cs="Arial"/>
        <w:b/>
        <w:i/>
        <w:sz w:val="24"/>
      </w:rPr>
      <w:tab/>
    </w:r>
    <w:r>
      <w:rPr>
        <w:rFonts w:ascii="Arial" w:eastAsia="Arial" w:hAnsi="Arial" w:cs="Arial"/>
        <w:sz w:val="24"/>
      </w:rPr>
      <w:t xml:space="preserve">str.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8F7C" w14:textId="77777777" w:rsidR="00D84F5E" w:rsidRDefault="00000000">
    <w:pPr>
      <w:tabs>
        <w:tab w:val="right" w:pos="9603"/>
      </w:tabs>
      <w:spacing w:after="0"/>
    </w:pPr>
    <w:r>
      <w:rPr>
        <w:noProof/>
      </w:rPr>
      <mc:AlternateContent>
        <mc:Choice Requires="wpg">
          <w:drawing>
            <wp:anchor distT="0" distB="0" distL="114300" distR="114300" simplePos="0" relativeHeight="251659264" behindDoc="0" locked="0" layoutInCell="1" allowOverlap="1" wp14:anchorId="11558C77" wp14:editId="19FA7DE2">
              <wp:simplePos x="0" y="0"/>
              <wp:positionH relativeFrom="page">
                <wp:posOffset>880745</wp:posOffset>
              </wp:positionH>
              <wp:positionV relativeFrom="page">
                <wp:posOffset>10243820</wp:posOffset>
              </wp:positionV>
              <wp:extent cx="5798185" cy="8572"/>
              <wp:effectExtent l="0" t="0" r="0" b="0"/>
              <wp:wrapSquare wrapText="bothSides"/>
              <wp:docPr id="18309" name="Group 18309"/>
              <wp:cNvGraphicFramePr/>
              <a:graphic xmlns:a="http://schemas.openxmlformats.org/drawingml/2006/main">
                <a:graphicData uri="http://schemas.microsoft.com/office/word/2010/wordprocessingGroup">
                  <wpg:wgp>
                    <wpg:cNvGrpSpPr/>
                    <wpg:grpSpPr>
                      <a:xfrm>
                        <a:off x="0" y="0"/>
                        <a:ext cx="5798185" cy="8572"/>
                        <a:chOff x="0" y="0"/>
                        <a:chExt cx="5798185" cy="8572"/>
                      </a:xfrm>
                    </wpg:grpSpPr>
                    <wps:wsp>
                      <wps:cNvPr id="18875" name="Shape 1887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09" style="width:456.55pt;height:0.674988pt;position:absolute;mso-position-horizontal-relative:page;mso-position-horizontal:absolute;margin-left:69.35pt;mso-position-vertical-relative:page;margin-top:806.6pt;" coordsize="57981,85">
              <v:shape id="Shape 18876"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rFonts w:ascii="Arial" w:eastAsia="Arial" w:hAnsi="Arial" w:cs="Arial"/>
        <w:b/>
        <w:i/>
        <w:sz w:val="24"/>
      </w:rPr>
      <w:t xml:space="preserve"> </w:t>
    </w:r>
    <w:r>
      <w:rPr>
        <w:rFonts w:ascii="Arial" w:eastAsia="Arial" w:hAnsi="Arial" w:cs="Arial"/>
        <w:b/>
        <w:i/>
        <w:sz w:val="24"/>
      </w:rPr>
      <w:tab/>
    </w:r>
    <w:r>
      <w:rPr>
        <w:rFonts w:ascii="Arial" w:eastAsia="Arial" w:hAnsi="Arial" w:cs="Arial"/>
        <w:sz w:val="24"/>
      </w:rPr>
      <w:t xml:space="preserve">str.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7E96" w14:textId="77777777" w:rsidR="00D84F5E" w:rsidRDefault="00000000">
    <w:pPr>
      <w:tabs>
        <w:tab w:val="right" w:pos="9603"/>
      </w:tabs>
      <w:spacing w:after="0"/>
    </w:pPr>
    <w:r>
      <w:rPr>
        <w:noProof/>
      </w:rPr>
      <mc:AlternateContent>
        <mc:Choice Requires="wpg">
          <w:drawing>
            <wp:anchor distT="0" distB="0" distL="114300" distR="114300" simplePos="0" relativeHeight="251660288" behindDoc="0" locked="0" layoutInCell="1" allowOverlap="1" wp14:anchorId="39BC19F9" wp14:editId="003D3B41">
              <wp:simplePos x="0" y="0"/>
              <wp:positionH relativeFrom="page">
                <wp:posOffset>880745</wp:posOffset>
              </wp:positionH>
              <wp:positionV relativeFrom="page">
                <wp:posOffset>10243820</wp:posOffset>
              </wp:positionV>
              <wp:extent cx="5798185" cy="8572"/>
              <wp:effectExtent l="0" t="0" r="0" b="0"/>
              <wp:wrapSquare wrapText="bothSides"/>
              <wp:docPr id="18276" name="Group 18276"/>
              <wp:cNvGraphicFramePr/>
              <a:graphic xmlns:a="http://schemas.openxmlformats.org/drawingml/2006/main">
                <a:graphicData uri="http://schemas.microsoft.com/office/word/2010/wordprocessingGroup">
                  <wpg:wgp>
                    <wpg:cNvGrpSpPr/>
                    <wpg:grpSpPr>
                      <a:xfrm>
                        <a:off x="0" y="0"/>
                        <a:ext cx="5798185" cy="8572"/>
                        <a:chOff x="0" y="0"/>
                        <a:chExt cx="5798185" cy="8572"/>
                      </a:xfrm>
                    </wpg:grpSpPr>
                    <wps:wsp>
                      <wps:cNvPr id="18873" name="Shape 1887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76" style="width:456.55pt;height:0.674988pt;position:absolute;mso-position-horizontal-relative:page;mso-position-horizontal:absolute;margin-left:69.35pt;mso-position-vertical-relative:page;margin-top:806.6pt;" coordsize="57981,85">
              <v:shape id="Shape 18874"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rFonts w:ascii="Arial" w:eastAsia="Arial" w:hAnsi="Arial" w:cs="Arial"/>
        <w:b/>
        <w:i/>
        <w:sz w:val="24"/>
      </w:rPr>
      <w:t xml:space="preserve"> </w:t>
    </w:r>
    <w:r>
      <w:rPr>
        <w:rFonts w:ascii="Arial" w:eastAsia="Arial" w:hAnsi="Arial" w:cs="Arial"/>
        <w:b/>
        <w:i/>
        <w:sz w:val="24"/>
      </w:rPr>
      <w:tab/>
    </w:r>
    <w:r>
      <w:rPr>
        <w:rFonts w:ascii="Arial" w:eastAsia="Arial" w:hAnsi="Arial" w:cs="Arial"/>
        <w:sz w:val="24"/>
      </w:rPr>
      <w:t xml:space="preserve">str.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0931" w14:textId="77777777" w:rsidR="00122CBE" w:rsidRDefault="00122CBE">
      <w:pPr>
        <w:spacing w:after="0" w:line="240" w:lineRule="auto"/>
      </w:pPr>
      <w:r>
        <w:separator/>
      </w:r>
    </w:p>
  </w:footnote>
  <w:footnote w:type="continuationSeparator" w:id="0">
    <w:p w14:paraId="133055D2" w14:textId="77777777" w:rsidR="00122CBE" w:rsidRDefault="00122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D935" w14:textId="77777777" w:rsidR="00D84F5E" w:rsidRDefault="00000000">
    <w:pPr>
      <w:spacing w:after="0"/>
      <w:ind w:right="514"/>
      <w:jc w:val="right"/>
    </w:pPr>
    <w:r>
      <w:rPr>
        <w:sz w:val="24"/>
      </w:rPr>
      <w:t xml:space="preserve">ZP.271.1.26.2021 </w:t>
    </w:r>
  </w:p>
  <w:p w14:paraId="76B4A87B" w14:textId="77777777" w:rsidR="00D84F5E" w:rsidRDefault="00000000">
    <w:pPr>
      <w:spacing w:after="0"/>
      <w:ind w:right="254"/>
      <w:jc w:val="center"/>
    </w:pPr>
    <w:r>
      <w:rPr>
        <w:sz w:val="24"/>
      </w:rPr>
      <w:t xml:space="preserve">„Dostawa 40 stacji roboczych wraz monitorami i systemem operacyjnym do Urzędu Gminy </w:t>
    </w:r>
  </w:p>
  <w:p w14:paraId="0BB07BE9" w14:textId="77777777" w:rsidR="00D84F5E" w:rsidRDefault="00000000">
    <w:pPr>
      <w:spacing w:after="0"/>
      <w:ind w:right="513"/>
      <w:jc w:val="right"/>
    </w:pPr>
    <w:r>
      <w:rPr>
        <w:sz w:val="24"/>
      </w:rPr>
      <w:t xml:space="preserve">Michałowice”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F285" w14:textId="2AC6EF5F" w:rsidR="00D84F5E" w:rsidRDefault="00000000">
    <w:pPr>
      <w:spacing w:after="0"/>
      <w:ind w:right="514"/>
      <w:jc w:val="right"/>
    </w:pPr>
    <w:r>
      <w:rPr>
        <w:sz w:val="24"/>
      </w:rPr>
      <w:t>ZP.271.1.</w:t>
    </w:r>
    <w:r w:rsidR="00212B16">
      <w:rPr>
        <w:sz w:val="24"/>
      </w:rPr>
      <w:t>56</w:t>
    </w:r>
    <w:r>
      <w:rPr>
        <w:sz w:val="24"/>
      </w:rPr>
      <w:t>.202</w:t>
    </w:r>
    <w:r w:rsidR="00E23565">
      <w:rPr>
        <w:sz w:val="24"/>
      </w:rPr>
      <w:t>2</w:t>
    </w:r>
    <w:r>
      <w:rPr>
        <w:sz w:val="24"/>
      </w:rPr>
      <w:t xml:space="preserve"> </w:t>
    </w:r>
  </w:p>
  <w:p w14:paraId="03CBB127" w14:textId="5DA13095" w:rsidR="00D84F5E" w:rsidRDefault="00000000" w:rsidP="00E23565">
    <w:pPr>
      <w:spacing w:after="0"/>
      <w:ind w:right="254"/>
      <w:jc w:val="center"/>
    </w:pPr>
    <w:r>
      <w:rPr>
        <w:sz w:val="24"/>
      </w:rPr>
      <w:t>„</w:t>
    </w:r>
    <w:r w:rsidR="00C47AEC">
      <w:rPr>
        <w:rFonts w:asciiTheme="minorHAnsi" w:hAnsiTheme="minorHAnsi" w:cstheme="minorHAnsi"/>
      </w:rPr>
      <w:t>Dostawa do Urzędu Gminy Michałowice 10 stacji roboczych wraz systemem operacyjnym oraz dostawa 14 monitorów</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6B62" w14:textId="77777777" w:rsidR="00D84F5E" w:rsidRDefault="00000000">
    <w:pPr>
      <w:spacing w:after="0"/>
      <w:ind w:right="514"/>
      <w:jc w:val="right"/>
    </w:pPr>
    <w:r>
      <w:rPr>
        <w:sz w:val="24"/>
      </w:rPr>
      <w:t xml:space="preserve">ZP.271.1.26.2021 </w:t>
    </w:r>
  </w:p>
  <w:p w14:paraId="799D454C" w14:textId="77777777" w:rsidR="00D84F5E" w:rsidRDefault="00000000">
    <w:pPr>
      <w:spacing w:after="0"/>
      <w:ind w:right="254"/>
      <w:jc w:val="center"/>
    </w:pPr>
    <w:r>
      <w:rPr>
        <w:sz w:val="24"/>
      </w:rPr>
      <w:t xml:space="preserve">„Dostawa 40 stacji roboczych wraz monitorami i systemem operacyjnym do Urzędu Gminy </w:t>
    </w:r>
  </w:p>
  <w:p w14:paraId="21786561" w14:textId="77777777" w:rsidR="00D84F5E" w:rsidRDefault="00000000">
    <w:pPr>
      <w:spacing w:after="0"/>
      <w:ind w:right="513"/>
      <w:jc w:val="right"/>
    </w:pPr>
    <w:r>
      <w:rPr>
        <w:sz w:val="24"/>
      </w:rPr>
      <w:t xml:space="preserve">Michałowice”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DCC"/>
    <w:multiLevelType w:val="hybridMultilevel"/>
    <w:tmpl w:val="FBC65E42"/>
    <w:lvl w:ilvl="0" w:tplc="75E2DD3C">
      <w:start w:val="1"/>
      <w:numFmt w:val="bullet"/>
      <w:lvlText w:val="•"/>
      <w:lvlJc w:val="left"/>
      <w:pPr>
        <w:ind w:left="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C6EEB0">
      <w:start w:val="1"/>
      <w:numFmt w:val="bullet"/>
      <w:lvlText w:val="o"/>
      <w:lvlJc w:val="left"/>
      <w:pPr>
        <w:ind w:left="1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F09F9C">
      <w:start w:val="1"/>
      <w:numFmt w:val="bullet"/>
      <w:lvlText w:val="▪"/>
      <w:lvlJc w:val="left"/>
      <w:pPr>
        <w:ind w:left="2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CA7858">
      <w:start w:val="1"/>
      <w:numFmt w:val="bullet"/>
      <w:lvlText w:val="•"/>
      <w:lvlJc w:val="left"/>
      <w:pPr>
        <w:ind w:left="2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42B5C">
      <w:start w:val="1"/>
      <w:numFmt w:val="bullet"/>
      <w:lvlText w:val="o"/>
      <w:lvlJc w:val="left"/>
      <w:pPr>
        <w:ind w:left="3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1ED7B2">
      <w:start w:val="1"/>
      <w:numFmt w:val="bullet"/>
      <w:lvlText w:val="▪"/>
      <w:lvlJc w:val="left"/>
      <w:pPr>
        <w:ind w:left="4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EEB62E">
      <w:start w:val="1"/>
      <w:numFmt w:val="bullet"/>
      <w:lvlText w:val="•"/>
      <w:lvlJc w:val="left"/>
      <w:pPr>
        <w:ind w:left="4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647F70">
      <w:start w:val="1"/>
      <w:numFmt w:val="bullet"/>
      <w:lvlText w:val="o"/>
      <w:lvlJc w:val="left"/>
      <w:pPr>
        <w:ind w:left="5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042876">
      <w:start w:val="1"/>
      <w:numFmt w:val="bullet"/>
      <w:lvlText w:val="▪"/>
      <w:lvlJc w:val="left"/>
      <w:pPr>
        <w:ind w:left="6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E96150"/>
    <w:multiLevelType w:val="hybridMultilevel"/>
    <w:tmpl w:val="FE886ABE"/>
    <w:lvl w:ilvl="0" w:tplc="5ECACB1A">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363AD0">
      <w:start w:val="1"/>
      <w:numFmt w:val="lowerLetter"/>
      <w:lvlText w:val="%2"/>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EC833C">
      <w:start w:val="1"/>
      <w:numFmt w:val="lowerRoman"/>
      <w:lvlText w:val="%3"/>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201CE">
      <w:start w:val="1"/>
      <w:numFmt w:val="decimal"/>
      <w:lvlText w:val="%4"/>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B6A46A">
      <w:start w:val="1"/>
      <w:numFmt w:val="lowerLetter"/>
      <w:lvlText w:val="%5"/>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046188">
      <w:start w:val="1"/>
      <w:numFmt w:val="lowerRoman"/>
      <w:lvlText w:val="%6"/>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B8F974">
      <w:start w:val="1"/>
      <w:numFmt w:val="decimal"/>
      <w:lvlText w:val="%7"/>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C5806">
      <w:start w:val="1"/>
      <w:numFmt w:val="lowerLetter"/>
      <w:lvlText w:val="%8"/>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D8BA80">
      <w:start w:val="1"/>
      <w:numFmt w:val="lowerRoman"/>
      <w:lvlText w:val="%9"/>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6531C8"/>
    <w:multiLevelType w:val="hybridMultilevel"/>
    <w:tmpl w:val="07744E36"/>
    <w:lvl w:ilvl="0" w:tplc="C804DCF8">
      <w:start w:val="1"/>
      <w:numFmt w:val="bullet"/>
      <w:lvlText w:val="•"/>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E6AFA0">
      <w:start w:val="1"/>
      <w:numFmt w:val="bullet"/>
      <w:lvlText w:val="o"/>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D6BB82">
      <w:start w:val="1"/>
      <w:numFmt w:val="bullet"/>
      <w:lvlText w:val="▪"/>
      <w:lvlJc w:val="left"/>
      <w:pPr>
        <w:ind w:left="1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CAF346">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0D69E">
      <w:start w:val="1"/>
      <w:numFmt w:val="bullet"/>
      <w:lvlText w:val="o"/>
      <w:lvlJc w:val="left"/>
      <w:pPr>
        <w:ind w:left="3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5C9D8E">
      <w:start w:val="1"/>
      <w:numFmt w:val="bullet"/>
      <w:lvlText w:val="▪"/>
      <w:lvlJc w:val="left"/>
      <w:pPr>
        <w:ind w:left="4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522FAC">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3E91BA">
      <w:start w:val="1"/>
      <w:numFmt w:val="bullet"/>
      <w:lvlText w:val="o"/>
      <w:lvlJc w:val="left"/>
      <w:pPr>
        <w:ind w:left="5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58CD30">
      <w:start w:val="1"/>
      <w:numFmt w:val="bullet"/>
      <w:lvlText w:val="▪"/>
      <w:lvlJc w:val="left"/>
      <w:pPr>
        <w:ind w:left="6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1A1BE8"/>
    <w:multiLevelType w:val="hybridMultilevel"/>
    <w:tmpl w:val="A62EBD0C"/>
    <w:lvl w:ilvl="0" w:tplc="132E26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4A7D0A">
      <w:start w:val="1"/>
      <w:numFmt w:val="lowerLetter"/>
      <w:lvlText w:val="%2"/>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342094">
      <w:start w:val="1"/>
      <w:numFmt w:val="lowerRoman"/>
      <w:lvlText w:val="%3"/>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70D230">
      <w:start w:val="1"/>
      <w:numFmt w:val="decimal"/>
      <w:lvlText w:val="%4"/>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06161C">
      <w:start w:val="1"/>
      <w:numFmt w:val="lowerLetter"/>
      <w:lvlText w:val="%5"/>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22820">
      <w:start w:val="1"/>
      <w:numFmt w:val="lowerRoman"/>
      <w:lvlText w:val="%6"/>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6008F2">
      <w:start w:val="1"/>
      <w:numFmt w:val="decimal"/>
      <w:lvlText w:val="%7"/>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FA1358">
      <w:start w:val="1"/>
      <w:numFmt w:val="lowerLetter"/>
      <w:lvlText w:val="%8"/>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40E77E">
      <w:start w:val="1"/>
      <w:numFmt w:val="lowerRoman"/>
      <w:lvlText w:val="%9"/>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DBD4DEF"/>
    <w:multiLevelType w:val="hybridMultilevel"/>
    <w:tmpl w:val="0C08D658"/>
    <w:lvl w:ilvl="0" w:tplc="710EB434">
      <w:start w:val="1"/>
      <w:numFmt w:val="bullet"/>
      <w:lvlText w:val="-"/>
      <w:lvlJc w:val="left"/>
      <w:pPr>
        <w:ind w:left="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E67FC2">
      <w:start w:val="1"/>
      <w:numFmt w:val="bullet"/>
      <w:lvlText w:val="o"/>
      <w:lvlJc w:val="left"/>
      <w:pPr>
        <w:ind w:left="1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66CC36">
      <w:start w:val="1"/>
      <w:numFmt w:val="bullet"/>
      <w:lvlText w:val="▪"/>
      <w:lvlJc w:val="left"/>
      <w:pPr>
        <w:ind w:left="1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8400AC">
      <w:start w:val="1"/>
      <w:numFmt w:val="bullet"/>
      <w:lvlText w:val="•"/>
      <w:lvlJc w:val="left"/>
      <w:pPr>
        <w:ind w:left="2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2BFDE">
      <w:start w:val="1"/>
      <w:numFmt w:val="bullet"/>
      <w:lvlText w:val="o"/>
      <w:lvlJc w:val="left"/>
      <w:pPr>
        <w:ind w:left="3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D8D5F8">
      <w:start w:val="1"/>
      <w:numFmt w:val="bullet"/>
      <w:lvlText w:val="▪"/>
      <w:lvlJc w:val="left"/>
      <w:pPr>
        <w:ind w:left="4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4E53B2">
      <w:start w:val="1"/>
      <w:numFmt w:val="bullet"/>
      <w:lvlText w:val="•"/>
      <w:lvlJc w:val="left"/>
      <w:pPr>
        <w:ind w:left="4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60812C">
      <w:start w:val="1"/>
      <w:numFmt w:val="bullet"/>
      <w:lvlText w:val="o"/>
      <w:lvlJc w:val="left"/>
      <w:pPr>
        <w:ind w:left="5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044E5E">
      <w:start w:val="1"/>
      <w:numFmt w:val="bullet"/>
      <w:lvlText w:val="▪"/>
      <w:lvlJc w:val="left"/>
      <w:pPr>
        <w:ind w:left="6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0A0023"/>
    <w:multiLevelType w:val="hybridMultilevel"/>
    <w:tmpl w:val="EFB218D4"/>
    <w:lvl w:ilvl="0" w:tplc="D90A1662">
      <w:start w:val="1"/>
      <w:numFmt w:val="bullet"/>
      <w:lvlText w:val="•"/>
      <w:lvlJc w:val="left"/>
      <w:pPr>
        <w:ind w:left="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E7EF6">
      <w:start w:val="1"/>
      <w:numFmt w:val="bullet"/>
      <w:lvlText w:val="o"/>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D8AD60">
      <w:start w:val="1"/>
      <w:numFmt w:val="bullet"/>
      <w:lvlText w:val="▪"/>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2062E">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68B736">
      <w:start w:val="1"/>
      <w:numFmt w:val="bullet"/>
      <w:lvlText w:val="o"/>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0E2A14">
      <w:start w:val="1"/>
      <w:numFmt w:val="bullet"/>
      <w:lvlText w:val="▪"/>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383B56">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D21FA6">
      <w:start w:val="1"/>
      <w:numFmt w:val="bullet"/>
      <w:lvlText w:val="o"/>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4ECD66">
      <w:start w:val="1"/>
      <w:numFmt w:val="bullet"/>
      <w:lvlText w:val="▪"/>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2A2A3F"/>
    <w:multiLevelType w:val="hybridMultilevel"/>
    <w:tmpl w:val="E7124E98"/>
    <w:lvl w:ilvl="0" w:tplc="8E28304C">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7C4D7E">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3472B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AE4D8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9853D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AE7EA8">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F64E5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FE105A">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DCDCB2">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C75079"/>
    <w:multiLevelType w:val="hybridMultilevel"/>
    <w:tmpl w:val="CB20166A"/>
    <w:lvl w:ilvl="0" w:tplc="4C98BA70">
      <w:start w:val="1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B27E8A">
      <w:start w:val="1"/>
      <w:numFmt w:val="lowerLetter"/>
      <w:lvlText w:val="%2"/>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48A2E8">
      <w:start w:val="1"/>
      <w:numFmt w:val="lowerRoman"/>
      <w:lvlText w:val="%3"/>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38926A">
      <w:start w:val="1"/>
      <w:numFmt w:val="decimal"/>
      <w:lvlText w:val="%4"/>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0AFF84">
      <w:start w:val="1"/>
      <w:numFmt w:val="lowerLetter"/>
      <w:lvlText w:val="%5"/>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61E8E">
      <w:start w:val="1"/>
      <w:numFmt w:val="lowerRoman"/>
      <w:lvlText w:val="%6"/>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FE3F14">
      <w:start w:val="1"/>
      <w:numFmt w:val="decimal"/>
      <w:lvlText w:val="%7"/>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BA91F8">
      <w:start w:val="1"/>
      <w:numFmt w:val="lowerLetter"/>
      <w:lvlText w:val="%8"/>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9690A2">
      <w:start w:val="1"/>
      <w:numFmt w:val="lowerRoman"/>
      <w:lvlText w:val="%9"/>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446995445">
    <w:abstractNumId w:val="6"/>
  </w:num>
  <w:num w:numId="2" w16cid:durableId="726222064">
    <w:abstractNumId w:val="2"/>
  </w:num>
  <w:num w:numId="3" w16cid:durableId="1720665541">
    <w:abstractNumId w:val="3"/>
  </w:num>
  <w:num w:numId="4" w16cid:durableId="1979258724">
    <w:abstractNumId w:val="1"/>
  </w:num>
  <w:num w:numId="5" w16cid:durableId="1699308914">
    <w:abstractNumId w:val="7"/>
  </w:num>
  <w:num w:numId="6" w16cid:durableId="109249497">
    <w:abstractNumId w:val="0"/>
  </w:num>
  <w:num w:numId="7" w16cid:durableId="199168640">
    <w:abstractNumId w:val="4"/>
  </w:num>
  <w:num w:numId="8" w16cid:durableId="1061294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5E"/>
    <w:rsid w:val="00122CBE"/>
    <w:rsid w:val="00212B16"/>
    <w:rsid w:val="005D2697"/>
    <w:rsid w:val="00AC3F68"/>
    <w:rsid w:val="00BC608D"/>
    <w:rsid w:val="00BD0406"/>
    <w:rsid w:val="00C47AEC"/>
    <w:rsid w:val="00C95B16"/>
    <w:rsid w:val="00D84F5E"/>
    <w:rsid w:val="00DC4627"/>
    <w:rsid w:val="00E23565"/>
    <w:rsid w:val="00E32E6D"/>
    <w:rsid w:val="00FB4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0574"/>
  <w15:docId w15:val="{132A0FD5-3319-45EE-A1C6-8A2A2C40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404"/>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5D2697"/>
    <w:rPr>
      <w:color w:val="0563C1" w:themeColor="hyperlink"/>
      <w:u w:val="single"/>
    </w:rPr>
  </w:style>
  <w:style w:type="character" w:styleId="Nierozpoznanawzmianka">
    <w:name w:val="Unresolved Mention"/>
    <w:basedOn w:val="Domylnaczcionkaakapitu"/>
    <w:uiPriority w:val="99"/>
    <w:semiHidden/>
    <w:unhideWhenUsed/>
    <w:rsid w:val="005D2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gpu_list.php" TargetMode="External"/><Relationship Id="rId13" Type="http://schemas.openxmlformats.org/officeDocument/2006/relationships/hyperlink" Target="http://www.epeat.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ults.bapco.com/results/benchmark/SYSmark_25" TargetMode="External"/><Relationship Id="rId12" Type="http://schemas.openxmlformats.org/officeDocument/2006/relationships/hyperlink" Target="http://www.epeat.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at.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videocardbenchmark.net/gpu_list.ph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videocardbenchmark.net/gpu_list.ph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2905</Words>
  <Characters>17431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cp:lastModifiedBy>Marta  Opłocka</cp:lastModifiedBy>
  <cp:revision>7</cp:revision>
  <dcterms:created xsi:type="dcterms:W3CDTF">2022-08-08T13:32:00Z</dcterms:created>
  <dcterms:modified xsi:type="dcterms:W3CDTF">2022-08-29T10:30:00Z</dcterms:modified>
</cp:coreProperties>
</file>